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6E548B5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064228D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9B0B56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2A16CA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2A16CA">
              <w:rPr>
                <w:rFonts w:asciiTheme="minorHAnsi" w:hAnsiTheme="minorHAnsi" w:cstheme="minorHAnsi"/>
                <w:b/>
                <w:bCs/>
                <w:color w:val="21517E"/>
              </w:rPr>
              <w:t>01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2A16CA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1CC0F96" w:rsidR="005C2EC8" w:rsidRPr="00AB3E99" w:rsidRDefault="00BD5D3B" w:rsidP="008C23F5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Черкаській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DC22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8C23F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грудні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6C32040" w:rsidR="005C2EC8" w:rsidRPr="002530AB" w:rsidRDefault="0047711A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1D09A4">
              <w:rPr>
                <w:sz w:val="20"/>
                <w:szCs w:val="20"/>
                <w:lang w:eastAsia="uk-UA"/>
              </w:rPr>
              <w:t xml:space="preserve"> 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0588677B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53DEED6F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AA31A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31816315" w14:textId="21D86490" w:rsidR="005C2EC8" w:rsidRPr="00AA31AD" w:rsidRDefault="005C2EC8" w:rsidP="00AA31A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0472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125F9964" w14:textId="709FC930" w:rsidR="00A563DE" w:rsidRPr="00A563DE" w:rsidRDefault="00A563DE" w:rsidP="0094097E">
      <w:pPr>
        <w:ind w:firstLine="567"/>
        <w:jc w:val="both"/>
        <w:rPr>
          <w:rFonts w:ascii="Calibri" w:hAnsi="Calibri"/>
          <w:color w:val="22517D"/>
          <w:sz w:val="8"/>
          <w:szCs w:val="8"/>
        </w:rPr>
      </w:pPr>
      <w:r>
        <w:rPr>
          <w:rFonts w:ascii="Calibri" w:hAnsi="Calibri"/>
          <w:color w:val="22517D"/>
        </w:rPr>
        <w:t xml:space="preserve">Інфляція на споживчому ринку області </w:t>
      </w:r>
      <w:r w:rsidR="00DC22E6">
        <w:rPr>
          <w:rFonts w:ascii="Calibri" w:hAnsi="Calibri"/>
          <w:color w:val="22517D"/>
        </w:rPr>
        <w:t>в</w:t>
      </w:r>
      <w:r w:rsidR="002F6E54" w:rsidRPr="0081782B">
        <w:rPr>
          <w:rFonts w:ascii="Calibri" w:hAnsi="Calibri"/>
          <w:color w:val="22517D"/>
        </w:rPr>
        <w:t xml:space="preserve"> </w:t>
      </w:r>
      <w:r w:rsidR="008C23F5">
        <w:rPr>
          <w:rFonts w:ascii="Calibri" w:hAnsi="Calibri"/>
          <w:color w:val="22517D"/>
        </w:rPr>
        <w:t>грудн</w:t>
      </w:r>
      <w:r w:rsidR="0050206D">
        <w:rPr>
          <w:rFonts w:ascii="Calibri" w:hAnsi="Calibri"/>
          <w:color w:val="22517D"/>
        </w:rPr>
        <w:t>і</w:t>
      </w:r>
      <w:r w:rsidR="002F6E54" w:rsidRPr="0081782B">
        <w:rPr>
          <w:rFonts w:ascii="Calibri" w:hAnsi="Calibri"/>
          <w:color w:val="22517D"/>
        </w:rPr>
        <w:t xml:space="preserve"> 2025р. порівняно </w:t>
      </w:r>
      <w:r w:rsidR="00607894">
        <w:rPr>
          <w:rFonts w:ascii="Calibri" w:hAnsi="Calibri"/>
          <w:color w:val="22517D"/>
        </w:rPr>
        <w:t>і</w:t>
      </w:r>
      <w:r w:rsidR="002F6E54" w:rsidRPr="0081782B">
        <w:rPr>
          <w:rFonts w:ascii="Calibri" w:hAnsi="Calibri"/>
          <w:color w:val="22517D"/>
        </w:rPr>
        <w:t xml:space="preserve">з </w:t>
      </w:r>
      <w:r w:rsidR="008C23F5">
        <w:rPr>
          <w:rFonts w:ascii="Calibri" w:hAnsi="Calibri"/>
          <w:color w:val="22517D"/>
        </w:rPr>
        <w:t>листопадом</w:t>
      </w:r>
      <w:r w:rsidR="00863E9C">
        <w:rPr>
          <w:rFonts w:ascii="Calibri" w:hAnsi="Calibri"/>
          <w:color w:val="22517D"/>
        </w:rPr>
        <w:t xml:space="preserve"> </w:t>
      </w:r>
      <w:r>
        <w:rPr>
          <w:rFonts w:ascii="Calibri" w:hAnsi="Calibri"/>
          <w:color w:val="22517D"/>
        </w:rPr>
        <w:t>становила 0,</w:t>
      </w:r>
      <w:r w:rsidR="0050206D">
        <w:rPr>
          <w:rFonts w:ascii="Calibri" w:hAnsi="Calibri"/>
          <w:color w:val="22517D"/>
        </w:rPr>
        <w:t>3</w:t>
      </w:r>
      <w:r>
        <w:rPr>
          <w:rFonts w:ascii="Calibri" w:hAnsi="Calibri"/>
          <w:color w:val="22517D"/>
        </w:rPr>
        <w:t>%</w:t>
      </w:r>
      <w:r w:rsidR="00863E9C">
        <w:rPr>
          <w:rFonts w:ascii="Calibri" w:hAnsi="Calibri"/>
          <w:color w:val="22517D"/>
        </w:rPr>
        <w:t>,</w:t>
      </w:r>
      <w:r w:rsidR="002F6E54" w:rsidRPr="0081782B">
        <w:rPr>
          <w:rFonts w:ascii="Calibri" w:hAnsi="Calibri"/>
          <w:color w:val="22517D"/>
        </w:rPr>
        <w:t xml:space="preserve"> </w:t>
      </w:r>
      <w:r w:rsidR="0094097E">
        <w:rPr>
          <w:rFonts w:ascii="Calibri" w:eastAsiaTheme="minorHAnsi" w:hAnsi="Calibri" w:cs="Calibri"/>
          <w:color w:val="22517C"/>
          <w:lang w:eastAsia="en-US"/>
          <w14:ligatures w14:val="standardContextual"/>
        </w:rPr>
        <w:t xml:space="preserve">із груднем 2024р. </w:t>
      </w:r>
      <w:r>
        <w:rPr>
          <w:rFonts w:ascii="Calibri" w:hAnsi="Calibri"/>
          <w:color w:val="22517D"/>
        </w:rPr>
        <w:t>– 8,</w:t>
      </w:r>
      <w:r w:rsidR="0094097E">
        <w:rPr>
          <w:rFonts w:ascii="Calibri" w:hAnsi="Calibri"/>
          <w:color w:val="22517D"/>
        </w:rPr>
        <w:t>8</w:t>
      </w:r>
      <w:r>
        <w:rPr>
          <w:rFonts w:ascii="Calibri" w:hAnsi="Calibri"/>
          <w:color w:val="22517D"/>
        </w:rPr>
        <w:t xml:space="preserve">%, </w:t>
      </w:r>
      <w:r w:rsidR="002F6E54">
        <w:rPr>
          <w:rFonts w:ascii="Calibri" w:hAnsi="Calibri"/>
          <w:color w:val="22517D"/>
        </w:rPr>
        <w:t xml:space="preserve">по Україні </w:t>
      </w:r>
      <w:r>
        <w:rPr>
          <w:rFonts w:ascii="Calibri" w:hAnsi="Calibri"/>
          <w:color w:val="22517D"/>
        </w:rPr>
        <w:t>– 0</w:t>
      </w:r>
      <w:r w:rsidR="002F6E54">
        <w:rPr>
          <w:rFonts w:ascii="Calibri" w:hAnsi="Calibri"/>
          <w:color w:val="22517D"/>
        </w:rPr>
        <w:t>,</w:t>
      </w:r>
      <w:r w:rsidR="0094097E">
        <w:rPr>
          <w:rFonts w:ascii="Calibri" w:hAnsi="Calibri"/>
          <w:color w:val="22517D"/>
        </w:rPr>
        <w:t>2</w:t>
      </w:r>
      <w:r w:rsidR="002F6E54">
        <w:rPr>
          <w:rFonts w:ascii="Calibri" w:hAnsi="Calibri"/>
          <w:color w:val="22517D"/>
        </w:rPr>
        <w:t xml:space="preserve">% і </w:t>
      </w:r>
      <w:r w:rsidR="0094097E">
        <w:rPr>
          <w:rFonts w:ascii="Calibri" w:hAnsi="Calibri"/>
          <w:color w:val="22517D"/>
        </w:rPr>
        <w:t>8</w:t>
      </w:r>
      <w:r w:rsidR="002F6E54" w:rsidRPr="0081782B">
        <w:rPr>
          <w:rFonts w:ascii="Calibri" w:hAnsi="Calibri"/>
          <w:color w:val="22517D"/>
        </w:rPr>
        <w:t>,</w:t>
      </w:r>
      <w:r w:rsidR="0094097E">
        <w:rPr>
          <w:rFonts w:ascii="Calibri" w:hAnsi="Calibri"/>
          <w:color w:val="22517D"/>
        </w:rPr>
        <w:t>0</w:t>
      </w:r>
      <w:r w:rsidR="002F6E54" w:rsidRPr="0081782B">
        <w:rPr>
          <w:rFonts w:ascii="Calibri" w:hAnsi="Calibri"/>
          <w:color w:val="22517D"/>
        </w:rPr>
        <w:t>%</w:t>
      </w:r>
      <w:r w:rsidR="002F6E54">
        <w:rPr>
          <w:rFonts w:ascii="Calibri" w:hAnsi="Calibri"/>
          <w:color w:val="22517D"/>
        </w:rPr>
        <w:t xml:space="preserve"> відповідно</w:t>
      </w:r>
      <w:r w:rsidR="002F6E54" w:rsidRPr="0081782B">
        <w:rPr>
          <w:rFonts w:ascii="Calibri" w:hAnsi="Calibri"/>
          <w:color w:val="22517D"/>
        </w:rPr>
        <w:t>.</w:t>
      </w:r>
      <w:r w:rsidR="009F0148">
        <w:rPr>
          <w:rFonts w:ascii="Calibri" w:hAnsi="Calibri"/>
          <w:color w:val="22517D"/>
        </w:rPr>
        <w:t xml:space="preserve">    </w:t>
      </w:r>
      <w:r w:rsidR="0042350E">
        <w:rPr>
          <w:rFonts w:ascii="Calibri" w:hAnsi="Calibri"/>
          <w:color w:val="22517D"/>
          <w:sz w:val="8"/>
          <w:szCs w:val="8"/>
        </w:rPr>
        <w:t xml:space="preserve">   </w:t>
      </w:r>
      <w:bookmarkStart w:id="1" w:name="_GoBack"/>
      <w:bookmarkEnd w:id="1"/>
    </w:p>
    <w:p w14:paraId="041452F3" w14:textId="77777777" w:rsidR="00F6474A" w:rsidRPr="0094097E" w:rsidRDefault="00F6474A" w:rsidP="002F6E54">
      <w:pPr>
        <w:ind w:firstLine="567"/>
        <w:jc w:val="both"/>
        <w:rPr>
          <w:rFonts w:ascii="Calibri" w:hAnsi="Calibri"/>
          <w:color w:val="22517D"/>
          <w:sz w:val="8"/>
          <w:szCs w:val="8"/>
        </w:rPr>
      </w:pPr>
    </w:p>
    <w:p w14:paraId="1DEA26DA" w14:textId="2662788F" w:rsidR="00183730" w:rsidRDefault="00183730" w:rsidP="0094097E">
      <w:pPr>
        <w:pStyle w:val="--12"/>
        <w:ind w:firstLine="0"/>
        <w:rPr>
          <w:sz w:val="16"/>
          <w:szCs w:val="16"/>
        </w:rPr>
      </w:pPr>
    </w:p>
    <w:p w14:paraId="2A61453C" w14:textId="77777777" w:rsidR="0094097E" w:rsidRPr="0094097E" w:rsidRDefault="0094097E" w:rsidP="0094097E">
      <w:pPr>
        <w:pStyle w:val="--12"/>
        <w:ind w:firstLine="0"/>
        <w:rPr>
          <w:sz w:val="12"/>
          <w:szCs w:val="12"/>
        </w:rPr>
        <w:sectPr w:rsidR="0094097E" w:rsidRPr="0094097E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640E448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60AD15B7">
            <wp:extent cx="2908935" cy="1928552"/>
            <wp:effectExtent l="0" t="0" r="5715" b="0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9652EF"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</w:p>
    <w:p w14:paraId="3190337F" w14:textId="77777777" w:rsidR="00F6474A" w:rsidRPr="00F6474A" w:rsidRDefault="00F6474A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 w:val="12"/>
          <w:szCs w:val="12"/>
        </w:rPr>
      </w:pPr>
    </w:p>
    <w:p w14:paraId="33FB697B" w14:textId="2AB7A2EB" w:rsidR="00BE70F0" w:rsidRPr="00BE70F0" w:rsidRDefault="003E6007" w:rsidP="0037204B">
      <w:pPr>
        <w:pStyle w:val="--12"/>
        <w:ind w:firstLine="0"/>
        <w:jc w:val="center"/>
        <w:rPr>
          <w:b/>
        </w:rPr>
      </w:pPr>
      <w:r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61F1CC0A" w:rsidR="001069E5" w:rsidRDefault="003E6007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BE70F0"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="00BE70F0"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E6007">
      <w:pPr>
        <w:pStyle w:val="--12"/>
        <w:ind w:right="-113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5B8EA4DB">
            <wp:extent cx="2790190" cy="1811655"/>
            <wp:effectExtent l="0" t="0" r="0" b="0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1D09A4">
      <w:pPr>
        <w:pStyle w:val="--12"/>
        <w:ind w:right="57"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0584A" w14:paraId="2BBD06CF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3793C7CF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105DFAB4" w14:textId="43AABF71" w:rsidR="0040584A" w:rsidRDefault="00D215F7" w:rsidP="00D215F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</w:t>
            </w:r>
            <w:r w:rsidR="002F6E3D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д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ень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0584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0584A" w14:paraId="05E2E462" w14:textId="77777777" w:rsidTr="00455839">
        <w:trPr>
          <w:trHeight w:val="340"/>
        </w:trPr>
        <w:tc>
          <w:tcPr>
            <w:tcW w:w="6089" w:type="dxa"/>
            <w:vMerge/>
            <w:vAlign w:val="center"/>
            <w:hideMark/>
          </w:tcPr>
          <w:p w14:paraId="0DBB03E6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7C585A84" w14:textId="0A8134F4" w:rsidR="0040584A" w:rsidRDefault="00D215F7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  <w:p w14:paraId="1539B511" w14:textId="64956D44" w:rsidR="0040584A" w:rsidRDefault="0040584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7EECB8F4" w14:textId="19135F95" w:rsidR="0040584A" w:rsidRDefault="00114211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я </w:t>
            </w:r>
          </w:p>
          <w:p w14:paraId="05E256D9" w14:textId="08B8E88D" w:rsidR="0040584A" w:rsidRDefault="0040584A" w:rsidP="00114211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11421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267FA2" w14:paraId="470AF59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C60308E" w14:textId="77777777" w:rsidR="00267FA2" w:rsidRDefault="00267FA2" w:rsidP="00267FA2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133B730" w14:textId="6C8C0273" w:rsidR="00267FA2" w:rsidRDefault="00267FA2" w:rsidP="00267FA2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22149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</w:tcPr>
          <w:p w14:paraId="78079329" w14:textId="02B72537" w:rsidR="00267FA2" w:rsidRDefault="00267FA2" w:rsidP="00267FA2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0175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8,</w:t>
            </w: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8</w:t>
            </w:r>
          </w:p>
        </w:tc>
      </w:tr>
      <w:tr w:rsidR="00267FA2" w14:paraId="26E532D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7D06EA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97EFD0C" w14:textId="031277DC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shd w:val="clear" w:color="auto" w:fill="FFFFFF" w:themeFill="background1"/>
          </w:tcPr>
          <w:p w14:paraId="17BE9E7D" w14:textId="16CBA498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</w:t>
            </w: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3</w:t>
            </w:r>
          </w:p>
        </w:tc>
      </w:tr>
      <w:tr w:rsidR="00267FA2" w14:paraId="7F255F5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1DCABD0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9B82381" w14:textId="55FECA3F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836D6A4" w14:textId="1AED04E5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</w:t>
            </w: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</w:t>
            </w:r>
            <w:r w:rsidRPr="0080175B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267FA2" w14:paraId="58B980C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7C8297B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4EC449A" w14:textId="1496AA80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7109784" w14:textId="6CEF0002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267FA2" w14:paraId="0EB17A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F8D183F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E80234" w14:textId="5FA13E7D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9A94C25" w14:textId="07DC5A20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14,2</w:t>
            </w:r>
          </w:p>
        </w:tc>
      </w:tr>
      <w:tr w:rsidR="00267FA2" w14:paraId="78B1F1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9C73EDB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BC32B53" w14:textId="08A97068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-2,4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621235" w14:textId="1D08BDD9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267FA2" w14:paraId="6485CAB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D9CBD37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113C636" w14:textId="7543ADF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EA800A6" w14:textId="7C4EEEC9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20,3</w:t>
            </w:r>
          </w:p>
        </w:tc>
      </w:tr>
      <w:tr w:rsidR="00267FA2" w14:paraId="12320FB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BBE80AE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65B87E0" w14:textId="528F9773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-1,3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0786F2D" w14:textId="6C291AE5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267FA2" w14:paraId="5483A3E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590BDDD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CD0827B" w14:textId="275D3E65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62A6F31" w14:textId="19C9CE72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7,2</w:t>
            </w:r>
          </w:p>
        </w:tc>
      </w:tr>
      <w:tr w:rsidR="00267FA2" w14:paraId="41234D3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933BAE5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095C533" w14:textId="534433F1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CBAFF7A" w14:textId="0999FECB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267FA2" w14:paraId="66A9A71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2552600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F6F45" w14:textId="1EEFF48D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8,8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A7C766B" w14:textId="7B90A462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267FA2" w14:paraId="0D104B5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7B16F0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E2BADE9" w14:textId="38AE1509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CBB8A60" w14:textId="3835334C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267FA2" w14:paraId="209F2CF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5263DD7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71F2BA8" w14:textId="01DEFC0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1DAC1F8" w14:textId="0CEA125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20,6</w:t>
            </w:r>
          </w:p>
        </w:tc>
      </w:tr>
      <w:tr w:rsidR="00267FA2" w14:paraId="0FE30D0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8DEE22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0F54A60" w14:textId="50F2B9D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-7,0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D32E4F1" w14:textId="6EF754DB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18,9</w:t>
            </w:r>
          </w:p>
        </w:tc>
      </w:tr>
      <w:tr w:rsidR="00267FA2" w14:paraId="7019EC9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478AAE1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4403694" w14:textId="2C8E5113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-5,2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E7AB87C" w14:textId="3E91C7B1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-32,8</w:t>
            </w:r>
          </w:p>
        </w:tc>
      </w:tr>
      <w:tr w:rsidR="00267FA2" w14:paraId="5BF866F6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D97306F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C29CD4C" w14:textId="0799316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-4,0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AB58E37" w14:textId="6903A7E9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-12,3</w:t>
            </w:r>
          </w:p>
        </w:tc>
      </w:tr>
      <w:tr w:rsidR="00267FA2" w14:paraId="25B40A7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392C282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03CD896" w14:textId="5352E75B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4DA06D" w14:textId="5A51C5D0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18,0</w:t>
            </w:r>
          </w:p>
        </w:tc>
      </w:tr>
      <w:tr w:rsidR="00267FA2" w14:paraId="1C54BFD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016BDE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C93DCD1" w14:textId="49EC5784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8B2E78" w14:textId="3E6381A9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17,9</w:t>
            </w:r>
          </w:p>
        </w:tc>
      </w:tr>
      <w:tr w:rsidR="00267FA2" w14:paraId="595BE09A" w14:textId="77777777" w:rsidTr="00455839">
        <w:tc>
          <w:tcPr>
            <w:tcW w:w="6089" w:type="dxa"/>
            <w:shd w:val="clear" w:color="auto" w:fill="FFFFFF" w:themeFill="background1"/>
          </w:tcPr>
          <w:p w14:paraId="131511F3" w14:textId="525A1FDC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A5E57A4" w14:textId="515ECFBB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-2,2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055098C" w14:textId="5E18FF53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-4,0</w:t>
            </w:r>
          </w:p>
        </w:tc>
      </w:tr>
      <w:tr w:rsidR="00267FA2" w14:paraId="017539AD" w14:textId="77777777" w:rsidTr="00455839">
        <w:tc>
          <w:tcPr>
            <w:tcW w:w="6089" w:type="dxa"/>
            <w:shd w:val="clear" w:color="auto" w:fill="FFFFFF" w:themeFill="background1"/>
          </w:tcPr>
          <w:p w14:paraId="29016F22" w14:textId="66850B78" w:rsidR="00267FA2" w:rsidRDefault="00267FA2" w:rsidP="00267FA2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7112413" w14:textId="4BC25672" w:rsidR="00267FA2" w:rsidRPr="003067F0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-2,9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7A1B3A3" w14:textId="041F85F6" w:rsidR="00267FA2" w:rsidRPr="003067F0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-1,0</w:t>
            </w:r>
          </w:p>
        </w:tc>
      </w:tr>
      <w:tr w:rsidR="00267FA2" w14:paraId="53B129FD" w14:textId="77777777" w:rsidTr="00455839">
        <w:tc>
          <w:tcPr>
            <w:tcW w:w="6089" w:type="dxa"/>
            <w:shd w:val="clear" w:color="auto" w:fill="FFFFFF" w:themeFill="background1"/>
          </w:tcPr>
          <w:p w14:paraId="3E76509C" w14:textId="1915DE8D" w:rsidR="00267FA2" w:rsidRDefault="00267FA2" w:rsidP="00267FA2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BFF42CB" w14:textId="169B54D5" w:rsidR="00267FA2" w:rsidRPr="003067F0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-1,3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AB24294" w14:textId="319F4AF1" w:rsidR="00267FA2" w:rsidRPr="003067F0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-8,0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206485F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4B73B915" w14:textId="1DD655B2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1D09A4">
      <w:pPr>
        <w:pStyle w:val="--12"/>
        <w:ind w:right="57"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D215F7" w14:paraId="7694EE4E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4FE8E077" w14:textId="77777777" w:rsidR="00D215F7" w:rsidRDefault="00D215F7" w:rsidP="00D215F7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797E40B8" w14:textId="1B70E5C2" w:rsidR="00D215F7" w:rsidRDefault="00D215F7" w:rsidP="00D215F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D215F7" w14:paraId="1AF80AB7" w14:textId="77777777" w:rsidTr="00455839">
        <w:trPr>
          <w:trHeight w:val="340"/>
        </w:trPr>
        <w:tc>
          <w:tcPr>
            <w:tcW w:w="6089" w:type="dxa"/>
            <w:vMerge/>
            <w:shd w:val="clear" w:color="auto" w:fill="FFFFFF" w:themeFill="background1"/>
            <w:vAlign w:val="center"/>
            <w:hideMark/>
          </w:tcPr>
          <w:p w14:paraId="4A871CA6" w14:textId="77777777" w:rsidR="00D215F7" w:rsidRDefault="00D215F7" w:rsidP="00D215F7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6BCC8642" w14:textId="77777777" w:rsidR="00D215F7" w:rsidRDefault="00D215F7" w:rsidP="00D215F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листопада </w:t>
            </w:r>
          </w:p>
          <w:p w14:paraId="380FF788" w14:textId="20478F7C" w:rsidR="00D215F7" w:rsidRDefault="00D215F7" w:rsidP="00D215F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24E3C326" w14:textId="77777777" w:rsidR="00D215F7" w:rsidRDefault="00D215F7" w:rsidP="00D215F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грудня </w:t>
            </w:r>
          </w:p>
          <w:p w14:paraId="77C98EDB" w14:textId="50C24559" w:rsidR="00D215F7" w:rsidRDefault="00D215F7" w:rsidP="00D215F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2024</w:t>
            </w:r>
          </w:p>
        </w:tc>
      </w:tr>
      <w:tr w:rsidR="00267FA2" w14:paraId="7CA5D5A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8BFDD4E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399D679" w14:textId="0D0C146F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C5B155" w14:textId="6529D9B6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267FA2" w14:paraId="38574D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103018D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B5F3E95" w14:textId="2A2C8D1F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FF0DB75" w14:textId="3C11DDDC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267FA2" w14:paraId="3885A02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8439EDB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531FC1F" w14:textId="065D6CFF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A1EC75" w14:textId="17F1B1B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6995D234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95EBF01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D26F57" w14:textId="649A4C4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063EB0" w14:textId="32FA9B2D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796736F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AE0A3B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6CB3E25" w14:textId="07CD06F2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E1BDA93" w14:textId="35BE189C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267F07D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B380F0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C663276" w14:textId="459A0E68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7AA7FFB" w14:textId="0024431D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267FA2" w14:paraId="3822A16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25D7AA8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73762EA" w14:textId="542D5BD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2DA636D" w14:textId="1E275B88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2020185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396DC4A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D8DBDA0" w14:textId="0362372F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B08C8C" w14:textId="15DAC9A3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185DB6F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536C33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D6A8DC9" w14:textId="1FB652C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BCE26C5" w14:textId="212970A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267FA2" w14:paraId="716AAAA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E40E491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A8D6969" w14:textId="405CF8FB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11E013" w14:textId="2B1B8DC5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</w:t>
            </w: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7</w:t>
            </w:r>
          </w:p>
        </w:tc>
      </w:tr>
      <w:tr w:rsidR="00267FA2" w14:paraId="4C5A6C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4226A7E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5C2DBA" w14:textId="264A1FF9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6531D21" w14:textId="554A34D2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267FA2" w14:paraId="19A6E215" w14:textId="77777777" w:rsidTr="00455839">
        <w:tc>
          <w:tcPr>
            <w:tcW w:w="6089" w:type="dxa"/>
            <w:shd w:val="clear" w:color="auto" w:fill="FFFFFF" w:themeFill="background1"/>
            <w:vAlign w:val="bottom"/>
            <w:hideMark/>
          </w:tcPr>
          <w:p w14:paraId="4406E330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467BD5" w14:textId="19FE61AA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6097A96" w14:textId="37E8123F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6,4</w:t>
            </w:r>
          </w:p>
        </w:tc>
      </w:tr>
      <w:tr w:rsidR="00267FA2" w14:paraId="7C49B8B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23BFA86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06B7AD" w14:textId="67A14D8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6C14F40" w14:textId="6EF5CD1C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8,3</w:t>
            </w:r>
          </w:p>
        </w:tc>
      </w:tr>
      <w:tr w:rsidR="00267FA2" w14:paraId="2A7379A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41052D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0705302" w14:textId="077C5ADE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02D4E64" w14:textId="23BA7303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267FA2" w14:paraId="132A8E0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B0F3A23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2362038" w14:textId="6859517C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7EAD1A" w14:textId="7319C8BD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  <w:tr w:rsidR="00267FA2" w14:paraId="57ADED9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2968DCF" w14:textId="77777777" w:rsidR="00267FA2" w:rsidRDefault="00267FA2" w:rsidP="00267FA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4CB290C" w14:textId="3A3D2DBA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0F28BF3" w14:textId="7A434776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13,9</w:t>
            </w:r>
          </w:p>
        </w:tc>
      </w:tr>
      <w:tr w:rsidR="00267FA2" w14:paraId="787FFB3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681E206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FC8E448" w14:textId="2658B71E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8EA91C5" w14:textId="25CA938A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267FA2" w14:paraId="54CE2EC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0D59618" w14:textId="77777777" w:rsidR="00267FA2" w:rsidRDefault="00267FA2" w:rsidP="00267FA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CEBEF35" w14:textId="527857C2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244B1F4" w14:textId="33274AB4" w:rsidR="00267FA2" w:rsidRDefault="00267FA2" w:rsidP="00267FA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13,7</w:t>
            </w:r>
          </w:p>
        </w:tc>
      </w:tr>
      <w:tr w:rsidR="00267FA2" w14:paraId="74EEDFC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4E67160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82FDE" w14:textId="422F778E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561986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4710FC5" w14:textId="537448AA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13,7</w:t>
            </w:r>
          </w:p>
        </w:tc>
      </w:tr>
      <w:tr w:rsidR="00267FA2" w14:paraId="6028202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B0C6CB4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6B2F5E7" w14:textId="40DEE25B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A9087D1" w14:textId="7CAB003D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</w:tr>
      <w:tr w:rsidR="00267FA2" w14:paraId="7340ED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E660C3F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BF0D7CE" w14:textId="5DD4C91D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E946EB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193CAAF" w14:textId="3E2B16C6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C72E43"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267FA2" w14:paraId="5FC366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CE9C5A9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F509B77" w14:textId="5172D97D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2691179" w14:textId="4BFA74CF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13,9</w:t>
            </w:r>
          </w:p>
        </w:tc>
      </w:tr>
      <w:tr w:rsidR="00267FA2" w14:paraId="53E5D2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63EDDF6" w14:textId="77777777" w:rsidR="00267FA2" w:rsidRDefault="00267FA2" w:rsidP="00267FA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4D61471" w14:textId="1630E187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3DAE001" w14:textId="3A8A0342" w:rsidR="00267FA2" w:rsidRDefault="00267FA2" w:rsidP="00267FA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F5496" w:themeColor="accent1" w:themeShade="BF"/>
                <w:kern w:val="2"/>
                <w:sz w:val="20"/>
                <w:szCs w:val="20"/>
                <w:lang w:val="ru-RU" w:eastAsia="en-US"/>
                <w14:ligatures w14:val="standardContextual"/>
              </w:rPr>
              <w:t>11,9</w:t>
            </w:r>
          </w:p>
        </w:tc>
      </w:tr>
    </w:tbl>
    <w:p w14:paraId="0E04B9AA" w14:textId="77777777" w:rsidR="006E3757" w:rsidRPr="00F73B9B" w:rsidRDefault="006E3757" w:rsidP="006E3757">
      <w:pPr>
        <w:spacing w:line="216" w:lineRule="auto"/>
        <w:rPr>
          <w:rFonts w:ascii="Calibri" w:hAnsi="Calibri" w:cs="Arial"/>
          <w:b/>
          <w:color w:val="22517D"/>
          <w:sz w:val="12"/>
          <w:szCs w:val="12"/>
        </w:rPr>
      </w:pPr>
    </w:p>
    <w:p w14:paraId="714E6D54" w14:textId="77777777" w:rsidR="00F73B9B" w:rsidRPr="00A563DE" w:rsidRDefault="00F73B9B" w:rsidP="006E3757">
      <w:pPr>
        <w:spacing w:line="216" w:lineRule="auto"/>
        <w:rPr>
          <w:rFonts w:ascii="Calibri" w:hAnsi="Calibri" w:cs="Arial"/>
          <w:b/>
          <w:color w:val="22517D"/>
          <w:sz w:val="16"/>
          <w:szCs w:val="16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1370E865" w14:textId="1C247B10" w:rsidR="00CE1D39" w:rsidRDefault="0054037A" w:rsidP="00B47D7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споживчому ринку </w:t>
            </w:r>
            <w:r w:rsidR="00074C3A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67F3E">
              <w:rPr>
                <w:rFonts w:ascii="Calibri" w:hAnsi="Calibri"/>
                <w:color w:val="22517D"/>
                <w:sz w:val="22"/>
                <w:szCs w:val="22"/>
              </w:rPr>
              <w:t>грудні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низилися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="00CE1D39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(</w:t>
            </w:r>
            <w:r w:rsidR="00CE1D39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7,0</w:t>
            </w:r>
            <w:r w:rsidR="00CE1D39" w:rsidRPr="0067039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 та 5,2%)</w:t>
            </w:r>
            <w:r w:rsidR="00CE1D39"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 под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ешевшали фрукти та овочі. На 4,0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0,5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знизилися ціни цукор, </w:t>
            </w:r>
            <w:r w:rsidR="00CE1D39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макаронні вироби,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 рибу та продукти з риби, м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ясо та м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ясопродукти, масло, сири. Водночас на 8,8% 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яйця, на 3,2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>0,7</w:t>
            </w:r>
            <w:r w:rsidR="00CE1D39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CE1D39">
              <w:rPr>
                <w:rFonts w:ascii="Calibri" w:hAnsi="Calibri"/>
                <w:color w:val="22517D"/>
                <w:sz w:val="22"/>
                <w:szCs w:val="22"/>
              </w:rPr>
              <w:t xml:space="preserve"> – на </w:t>
            </w:r>
            <w:r w:rsidR="00CE1D39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продукти переробки зернових, хліб, </w:t>
            </w:r>
            <w:r w:rsidR="00B225EE">
              <w:rPr>
                <w:rFonts w:ascii="Calibri" w:hAnsi="Calibri"/>
                <w:color w:val="22517D"/>
                <w:sz w:val="22"/>
                <w:szCs w:val="22"/>
              </w:rPr>
              <w:t xml:space="preserve">безалкогольні напої, </w:t>
            </w:r>
            <w:r w:rsidR="00B225E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сало,</w:t>
            </w:r>
            <w:r w:rsidR="00B225EE">
              <w:rPr>
                <w:rFonts w:ascii="Calibri" w:hAnsi="Calibri"/>
                <w:color w:val="22517D"/>
                <w:sz w:val="22"/>
                <w:szCs w:val="22"/>
              </w:rPr>
              <w:t xml:space="preserve"> молоко, рис.</w:t>
            </w:r>
          </w:p>
          <w:p w14:paraId="4E5218BD" w14:textId="77777777" w:rsidR="00CE1D39" w:rsidRPr="00F560EF" w:rsidRDefault="00CE1D39" w:rsidP="00B47D7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2E8E20AD" w14:textId="79A9DBCD" w:rsidR="00A76A9C" w:rsidRDefault="00EF6D05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у </w:t>
            </w:r>
            <w:proofErr w:type="spellStart"/>
            <w:r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. на алкогольні напої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тютюнов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вироб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–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на 0,7%.</w:t>
            </w:r>
          </w:p>
          <w:p w14:paraId="04623698" w14:textId="77777777" w:rsidR="00EF6D05" w:rsidRPr="00F560EF" w:rsidRDefault="00EF6D05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6C69B89" w14:textId="1367818A" w:rsidR="00FC3D00" w:rsidRDefault="00FC3D00" w:rsidP="00FC3D00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Одяг і взуття подешевшали на 2,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2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%, зокрема,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одяг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– на 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2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,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9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%, 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взуття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– на 1,</w:t>
            </w:r>
            <w:r w:rsidR="00EF6D05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3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%.</w:t>
            </w:r>
          </w:p>
          <w:p w14:paraId="4C66E706" w14:textId="1A86BFAE" w:rsidR="00456D3C" w:rsidRPr="00F560EF" w:rsidRDefault="00456D3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3F72C8FF" w14:textId="417FE731" w:rsidR="00F560EF" w:rsidRDefault="00F560EF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Зростання цін у сфері охорони </w:t>
            </w:r>
            <w:proofErr w:type="spellStart"/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здоров</w:t>
            </w:r>
            <w:proofErr w:type="spellEnd"/>
            <w:r w:rsidRPr="00F560EF">
              <w:rPr>
                <w:rFonts w:ascii="Calibri" w:eastAsiaTheme="minorHAnsi" w:hAnsi="Calibri" w:cs="Calibri"/>
                <w:color w:val="22517C"/>
                <w:sz w:val="22"/>
                <w:szCs w:val="22"/>
                <w:lang w:val="ru-RU" w:eastAsia="en-US"/>
                <w14:ligatures w14:val="standardContextual"/>
              </w:rPr>
              <w:t>’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val="ru-RU" w:eastAsia="en-US"/>
                <w14:ligatures w14:val="standardContextual"/>
              </w:rPr>
              <w:t>я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на 0,3% відбулося за рахунок підвищення цін на амбулаторні послуги на 2,9%.</w:t>
            </w:r>
          </w:p>
          <w:p w14:paraId="62D5087B" w14:textId="77777777" w:rsidR="00F560EF" w:rsidRPr="00F560EF" w:rsidRDefault="00F560EF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794D49F2" w14:textId="2E26DCEB" w:rsidR="00607894" w:rsidRDefault="00607894" w:rsidP="00374A63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Ціни на транспорт зросли на </w:t>
            </w:r>
            <w:r w:rsidR="00E2710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1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,</w:t>
            </w:r>
            <w:r w:rsidR="00E2710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0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 в</w:t>
            </w:r>
            <w:r w:rsidR="00374A6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основному через подорожчання</w:t>
            </w:r>
            <w:r w:rsidR="00E2710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автомобілів на 2,3% і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палива та мастил</w:t>
            </w:r>
            <w:r w:rsidR="00E2710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–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на 0,</w:t>
            </w:r>
            <w:r w:rsidR="00A65B12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6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%.</w:t>
            </w:r>
          </w:p>
          <w:p w14:paraId="251ABA0F" w14:textId="77777777" w:rsidR="00607894" w:rsidRPr="006D045F" w:rsidRDefault="00607894" w:rsidP="00607894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55818F7A" w14:textId="77777777" w:rsidR="00EF6D05" w:rsidRDefault="00EF6D05" w:rsidP="00EF6D05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</w:p>
          <w:p w14:paraId="015F9F8E" w14:textId="0F8E8556" w:rsidR="00F560EF" w:rsidRPr="00D25EC4" w:rsidRDefault="00F560EF" w:rsidP="00F560EF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CE3328">
            <w:pPr>
              <w:ind w:left="-11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4FBCD974" w14:textId="77777777" w:rsidR="00DE71B0" w:rsidRDefault="003A2E2D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562064B1">
                  <wp:extent cx="3010535" cy="108896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F7409FA" w14:textId="77777777" w:rsidR="00DE71B0" w:rsidRPr="00DE71B0" w:rsidRDefault="00DE71B0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3775202C" w14:textId="1AEF0A8A" w:rsidR="006E3757" w:rsidRPr="006E3757" w:rsidRDefault="006E3757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5A64CD39">
                  <wp:extent cx="3010535" cy="1088968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01AF9E5B" w14:textId="77777777" w:rsidR="00DE71B0" w:rsidRPr="00DE71B0" w:rsidRDefault="00DE71B0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593EF0CB" w14:textId="77777777" w:rsidR="006E3757" w:rsidRPr="006E3757" w:rsidRDefault="006E3757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2325D62A">
                  <wp:extent cx="3010535" cy="1055717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CE3328">
            <w:pPr>
              <w:ind w:left="-113"/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CE3328">
            <w:pPr>
              <w:numPr>
                <w:ilvl w:val="0"/>
                <w:numId w:val="10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24C2D93" w14:textId="77777777" w:rsidR="004724B4" w:rsidRDefault="004724B4" w:rsidP="004724B4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4724B4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CE3328">
            <w:pPr>
              <w:ind w:right="113"/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1217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6"/>
      </w:tblGrid>
      <w:tr w:rsidR="00356050" w:rsidRPr="00356050" w14:paraId="5C7F195D" w14:textId="77777777" w:rsidTr="00D00EB8">
        <w:tc>
          <w:tcPr>
            <w:tcW w:w="1217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7C4C622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0472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33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89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gustat</w:t>
            </w:r>
            <w:proofErr w:type="spellEnd"/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begin"/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instrText xml:space="preserve"> HYPERLINK "mailto:o.kalabukha@sssu.gov.ua" </w:instrTex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separate"/>
            </w:r>
            <w:r w:rsidRPr="007524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@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857F3F" w:rsidRPr="00A65B12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.gov.ua</w: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end"/>
            </w:r>
          </w:p>
          <w:p w14:paraId="64F92E3D" w14:textId="5E882A6A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ua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/?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=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stat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_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cinu</w:t>
            </w:r>
            <w:proofErr w:type="spellEnd"/>
          </w:p>
          <w:p w14:paraId="5880B3D0" w14:textId="7D612905" w:rsidR="00356050" w:rsidRPr="00356050" w:rsidRDefault="00356050" w:rsidP="0085011F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Черкаській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85011F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</w:tbl>
    <w:bookmarkEnd w:id="0"/>
    <w:bookmarkEnd w:id="2"/>
    <w:p w14:paraId="4AA0BA23" w14:textId="75C577D4" w:rsidR="00356050" w:rsidRPr="00356050" w:rsidRDefault="00D00EB8" w:rsidP="00437075">
      <w:pPr>
        <w:pStyle w:val="--12"/>
        <w:ind w:firstLine="0"/>
        <w:rPr>
          <w:sz w:val="10"/>
          <w:szCs w:val="10"/>
        </w:rPr>
      </w:pPr>
      <w:r>
        <w:rPr>
          <w:sz w:val="10"/>
          <w:szCs w:val="10"/>
        </w:rPr>
        <w:t xml:space="preserve">         </w:t>
      </w: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3C313" w14:textId="77777777" w:rsidR="003C2E03" w:rsidRDefault="003C2E03" w:rsidP="005345A4">
      <w:r>
        <w:separator/>
      </w:r>
    </w:p>
  </w:endnote>
  <w:endnote w:type="continuationSeparator" w:id="0">
    <w:p w14:paraId="78EEBDAD" w14:textId="77777777" w:rsidR="003C2E03" w:rsidRDefault="003C2E03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4627156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7066060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569232068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42350E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A0027" w14:textId="77777777" w:rsidR="003C2E03" w:rsidRDefault="003C2E03" w:rsidP="005345A4">
      <w:r>
        <w:separator/>
      </w:r>
    </w:p>
  </w:footnote>
  <w:footnote w:type="continuationSeparator" w:id="0">
    <w:p w14:paraId="3ABE1331" w14:textId="77777777" w:rsidR="003C2E03" w:rsidRDefault="003C2E03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039" type="#_x0000_t75" style="width:37.3pt;height:37.3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7.3pt;height:37.3pt;visibility:visible;mso-wrap-style:square" o:bullet="t">
        <v:imagedata r:id="rId4" o:title=""/>
      </v:shape>
    </w:pict>
  </w:numPicBullet>
  <w:numPicBullet w:numPicBulletId="4">
    <w:pict>
      <v:shape id="_x0000_i1042" type="#_x0000_t75" style="width:37.3pt;height:37.3pt;visibility:visible;mso-wrap-style:square" o:bullet="t">
        <v:imagedata r:id="rId5" o:title=""/>
      </v:shape>
    </w:pict>
  </w:numPicBullet>
  <w:numPicBullet w:numPicBulletId="5">
    <w:pict>
      <v:shape id="_x0000_i1043" type="#_x0000_t75" style="width:37.3pt;height:37.3pt;visibility:visible;mso-wrap-style:square" o:bullet="t">
        <v:imagedata r:id="rId6" o:title=""/>
      </v:shape>
    </w:pict>
  </w:numPicBullet>
  <w:numPicBullet w:numPicBulletId="6">
    <w:pict>
      <v:shape id="_x0000_i1044" type="#_x0000_t75" style="width:37.3pt;height:37.3pt;visibility:visible;mso-wrap-style:square" o:bullet="t">
        <v:imagedata r:id="rId7" o:title=""/>
      </v:shape>
    </w:pict>
  </w:numPicBullet>
  <w:numPicBullet w:numPicBulletId="7">
    <w:pict>
      <v:shape id="_x0000_i1045" type="#_x0000_t75" style="width:37.3pt;height:37.3pt;visibility:visible;mso-wrap-style:square" o:bullet="t">
        <v:imagedata r:id="rId8" o:title=""/>
      </v:shape>
    </w:pict>
  </w:numPicBullet>
  <w:numPicBullet w:numPicBulletId="8">
    <w:pict>
      <v:shape id="_x0000_i1046" type="#_x0000_t75" style="width:37.3pt;height:37.3pt;visibility:visible;mso-wrap-style:square" o:bullet="t">
        <v:imagedata r:id="rId9" o:title=""/>
      </v:shape>
    </w:pict>
  </w:numPicBullet>
  <w:numPicBullet w:numPicBulletId="9">
    <w:pict>
      <v:shape id="_x0000_i1047" type="#_x0000_t75" style="width:37.3pt;height:37.3pt;visibility:visible;mso-wrap-style:square" o:bullet="t">
        <v:imagedata r:id="rId10" o:title=""/>
      </v:shape>
    </w:pict>
  </w:numPicBullet>
  <w:numPicBullet w:numPicBulletId="10">
    <w:pict>
      <v:shape id="_x0000_i1048" type="#_x0000_t75" style="width:37.3pt;height:37.3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5pt;height:8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202B"/>
    <w:rsid w:val="000035CF"/>
    <w:rsid w:val="00003678"/>
    <w:rsid w:val="000044A0"/>
    <w:rsid w:val="00005F9C"/>
    <w:rsid w:val="00006C67"/>
    <w:rsid w:val="00014871"/>
    <w:rsid w:val="00015006"/>
    <w:rsid w:val="00015105"/>
    <w:rsid w:val="000161D7"/>
    <w:rsid w:val="00020772"/>
    <w:rsid w:val="0002684B"/>
    <w:rsid w:val="000270CF"/>
    <w:rsid w:val="00030820"/>
    <w:rsid w:val="0003284F"/>
    <w:rsid w:val="00033FB7"/>
    <w:rsid w:val="00036B18"/>
    <w:rsid w:val="00036C25"/>
    <w:rsid w:val="00036E1E"/>
    <w:rsid w:val="00041033"/>
    <w:rsid w:val="00041E05"/>
    <w:rsid w:val="00045C8C"/>
    <w:rsid w:val="00052611"/>
    <w:rsid w:val="00062027"/>
    <w:rsid w:val="00062038"/>
    <w:rsid w:val="00062604"/>
    <w:rsid w:val="00062D72"/>
    <w:rsid w:val="00074C3A"/>
    <w:rsid w:val="0007552B"/>
    <w:rsid w:val="000770BA"/>
    <w:rsid w:val="000802BE"/>
    <w:rsid w:val="00080C37"/>
    <w:rsid w:val="00083C4E"/>
    <w:rsid w:val="00085165"/>
    <w:rsid w:val="0008554B"/>
    <w:rsid w:val="000865FC"/>
    <w:rsid w:val="000867D5"/>
    <w:rsid w:val="00086AAE"/>
    <w:rsid w:val="00090B54"/>
    <w:rsid w:val="000914E6"/>
    <w:rsid w:val="00092DFF"/>
    <w:rsid w:val="00093BA1"/>
    <w:rsid w:val="00094D22"/>
    <w:rsid w:val="000978C4"/>
    <w:rsid w:val="000A19C5"/>
    <w:rsid w:val="000A1E70"/>
    <w:rsid w:val="000A2AAD"/>
    <w:rsid w:val="000A2EB3"/>
    <w:rsid w:val="000A489E"/>
    <w:rsid w:val="000A7C0C"/>
    <w:rsid w:val="000B0BDD"/>
    <w:rsid w:val="000B2664"/>
    <w:rsid w:val="000B6D17"/>
    <w:rsid w:val="000B7417"/>
    <w:rsid w:val="000C2BAC"/>
    <w:rsid w:val="000C2BBE"/>
    <w:rsid w:val="000C43BC"/>
    <w:rsid w:val="000C747A"/>
    <w:rsid w:val="000D191B"/>
    <w:rsid w:val="000D4C6A"/>
    <w:rsid w:val="000D5FBC"/>
    <w:rsid w:val="000D6D0E"/>
    <w:rsid w:val="000D7438"/>
    <w:rsid w:val="000D7EE3"/>
    <w:rsid w:val="000E0309"/>
    <w:rsid w:val="000E0CE2"/>
    <w:rsid w:val="000E1618"/>
    <w:rsid w:val="000E26AE"/>
    <w:rsid w:val="000E415D"/>
    <w:rsid w:val="000E5420"/>
    <w:rsid w:val="000E595B"/>
    <w:rsid w:val="000F04FD"/>
    <w:rsid w:val="000F08C6"/>
    <w:rsid w:val="000F38ED"/>
    <w:rsid w:val="000F5A68"/>
    <w:rsid w:val="000F62EB"/>
    <w:rsid w:val="000F68D3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33AF"/>
    <w:rsid w:val="00114211"/>
    <w:rsid w:val="0011554B"/>
    <w:rsid w:val="001161B8"/>
    <w:rsid w:val="001161E6"/>
    <w:rsid w:val="001173DE"/>
    <w:rsid w:val="00127DC4"/>
    <w:rsid w:val="0013022E"/>
    <w:rsid w:val="00133DF2"/>
    <w:rsid w:val="00134575"/>
    <w:rsid w:val="001347D1"/>
    <w:rsid w:val="00134917"/>
    <w:rsid w:val="001364F0"/>
    <w:rsid w:val="00140C2F"/>
    <w:rsid w:val="00142443"/>
    <w:rsid w:val="00150477"/>
    <w:rsid w:val="00150E83"/>
    <w:rsid w:val="00152DB9"/>
    <w:rsid w:val="001551BB"/>
    <w:rsid w:val="001551D0"/>
    <w:rsid w:val="001552BC"/>
    <w:rsid w:val="001553ED"/>
    <w:rsid w:val="00156C7E"/>
    <w:rsid w:val="00160825"/>
    <w:rsid w:val="00160EB7"/>
    <w:rsid w:val="001631D6"/>
    <w:rsid w:val="0016401D"/>
    <w:rsid w:val="001657F2"/>
    <w:rsid w:val="001658D8"/>
    <w:rsid w:val="0017140C"/>
    <w:rsid w:val="001735B4"/>
    <w:rsid w:val="00173727"/>
    <w:rsid w:val="00175E10"/>
    <w:rsid w:val="00176453"/>
    <w:rsid w:val="00177C5D"/>
    <w:rsid w:val="00181A10"/>
    <w:rsid w:val="00183730"/>
    <w:rsid w:val="0018535F"/>
    <w:rsid w:val="001909B1"/>
    <w:rsid w:val="0019449F"/>
    <w:rsid w:val="001972A8"/>
    <w:rsid w:val="00197F57"/>
    <w:rsid w:val="001A05A7"/>
    <w:rsid w:val="001A2AE1"/>
    <w:rsid w:val="001A3F59"/>
    <w:rsid w:val="001B2AA6"/>
    <w:rsid w:val="001B4503"/>
    <w:rsid w:val="001B495F"/>
    <w:rsid w:val="001B6234"/>
    <w:rsid w:val="001B77EB"/>
    <w:rsid w:val="001C0BCF"/>
    <w:rsid w:val="001C3E58"/>
    <w:rsid w:val="001C5915"/>
    <w:rsid w:val="001C5AB9"/>
    <w:rsid w:val="001C77C5"/>
    <w:rsid w:val="001C7CBC"/>
    <w:rsid w:val="001D09A4"/>
    <w:rsid w:val="001D168E"/>
    <w:rsid w:val="001D1A19"/>
    <w:rsid w:val="001D3564"/>
    <w:rsid w:val="001D366B"/>
    <w:rsid w:val="001D3E55"/>
    <w:rsid w:val="001D6DE4"/>
    <w:rsid w:val="001D722D"/>
    <w:rsid w:val="001E1102"/>
    <w:rsid w:val="001E4572"/>
    <w:rsid w:val="001E57A1"/>
    <w:rsid w:val="001E79A5"/>
    <w:rsid w:val="001F0E39"/>
    <w:rsid w:val="001F107C"/>
    <w:rsid w:val="001F3727"/>
    <w:rsid w:val="001F4D5D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9DB"/>
    <w:rsid w:val="00223C08"/>
    <w:rsid w:val="002253BF"/>
    <w:rsid w:val="002257BC"/>
    <w:rsid w:val="00226273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89E"/>
    <w:rsid w:val="00264E6D"/>
    <w:rsid w:val="00267FA2"/>
    <w:rsid w:val="00270DEB"/>
    <w:rsid w:val="00273B54"/>
    <w:rsid w:val="00275999"/>
    <w:rsid w:val="002823AD"/>
    <w:rsid w:val="0028317C"/>
    <w:rsid w:val="0028485E"/>
    <w:rsid w:val="002848EC"/>
    <w:rsid w:val="00287D35"/>
    <w:rsid w:val="00292172"/>
    <w:rsid w:val="002922F3"/>
    <w:rsid w:val="0029251B"/>
    <w:rsid w:val="00293CA3"/>
    <w:rsid w:val="00294482"/>
    <w:rsid w:val="002A119B"/>
    <w:rsid w:val="002A1436"/>
    <w:rsid w:val="002A16CA"/>
    <w:rsid w:val="002A31AA"/>
    <w:rsid w:val="002A7545"/>
    <w:rsid w:val="002B1903"/>
    <w:rsid w:val="002C18E4"/>
    <w:rsid w:val="002C19E3"/>
    <w:rsid w:val="002C265E"/>
    <w:rsid w:val="002C3148"/>
    <w:rsid w:val="002C4768"/>
    <w:rsid w:val="002C48B3"/>
    <w:rsid w:val="002C5DB4"/>
    <w:rsid w:val="002D11E0"/>
    <w:rsid w:val="002D2D65"/>
    <w:rsid w:val="002D4411"/>
    <w:rsid w:val="002D5008"/>
    <w:rsid w:val="002D538B"/>
    <w:rsid w:val="002D607C"/>
    <w:rsid w:val="002D6823"/>
    <w:rsid w:val="002E022D"/>
    <w:rsid w:val="002E2E4B"/>
    <w:rsid w:val="002E31C8"/>
    <w:rsid w:val="002E5C22"/>
    <w:rsid w:val="002E65B7"/>
    <w:rsid w:val="002F06D7"/>
    <w:rsid w:val="002F1C34"/>
    <w:rsid w:val="002F1C69"/>
    <w:rsid w:val="002F3914"/>
    <w:rsid w:val="002F6E3D"/>
    <w:rsid w:val="002F6E54"/>
    <w:rsid w:val="002F710E"/>
    <w:rsid w:val="002F7374"/>
    <w:rsid w:val="00303464"/>
    <w:rsid w:val="003062A4"/>
    <w:rsid w:val="003067F0"/>
    <w:rsid w:val="003120BD"/>
    <w:rsid w:val="0031286A"/>
    <w:rsid w:val="003138F7"/>
    <w:rsid w:val="00315C2A"/>
    <w:rsid w:val="0031743B"/>
    <w:rsid w:val="0032141A"/>
    <w:rsid w:val="0032192A"/>
    <w:rsid w:val="00321E4D"/>
    <w:rsid w:val="00322715"/>
    <w:rsid w:val="00323617"/>
    <w:rsid w:val="00323907"/>
    <w:rsid w:val="00327232"/>
    <w:rsid w:val="003274FC"/>
    <w:rsid w:val="00327E1B"/>
    <w:rsid w:val="003301C0"/>
    <w:rsid w:val="003307DB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3A61"/>
    <w:rsid w:val="003742C5"/>
    <w:rsid w:val="00374A63"/>
    <w:rsid w:val="003755D8"/>
    <w:rsid w:val="00376865"/>
    <w:rsid w:val="003775C8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2E03"/>
    <w:rsid w:val="003C3D99"/>
    <w:rsid w:val="003C440A"/>
    <w:rsid w:val="003C50DA"/>
    <w:rsid w:val="003C51CF"/>
    <w:rsid w:val="003C6F2B"/>
    <w:rsid w:val="003D03D1"/>
    <w:rsid w:val="003D09E7"/>
    <w:rsid w:val="003D1E35"/>
    <w:rsid w:val="003D200C"/>
    <w:rsid w:val="003D237C"/>
    <w:rsid w:val="003D537B"/>
    <w:rsid w:val="003D5C18"/>
    <w:rsid w:val="003E2BEA"/>
    <w:rsid w:val="003E2F40"/>
    <w:rsid w:val="003E2F76"/>
    <w:rsid w:val="003E3904"/>
    <w:rsid w:val="003E5A8D"/>
    <w:rsid w:val="003E6007"/>
    <w:rsid w:val="003E7A35"/>
    <w:rsid w:val="003F219A"/>
    <w:rsid w:val="003F30BE"/>
    <w:rsid w:val="003F52D1"/>
    <w:rsid w:val="003F7316"/>
    <w:rsid w:val="003F7681"/>
    <w:rsid w:val="00401D3F"/>
    <w:rsid w:val="00403106"/>
    <w:rsid w:val="00404956"/>
    <w:rsid w:val="0040584A"/>
    <w:rsid w:val="00407D46"/>
    <w:rsid w:val="00410BA9"/>
    <w:rsid w:val="00410F30"/>
    <w:rsid w:val="00412F0D"/>
    <w:rsid w:val="0041455B"/>
    <w:rsid w:val="0041457C"/>
    <w:rsid w:val="00414C6D"/>
    <w:rsid w:val="00415077"/>
    <w:rsid w:val="0041533F"/>
    <w:rsid w:val="00417A7B"/>
    <w:rsid w:val="00417D42"/>
    <w:rsid w:val="0042350E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4635"/>
    <w:rsid w:val="00434805"/>
    <w:rsid w:val="0043707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839"/>
    <w:rsid w:val="00455B4B"/>
    <w:rsid w:val="00456D3C"/>
    <w:rsid w:val="00457B82"/>
    <w:rsid w:val="00462609"/>
    <w:rsid w:val="00463544"/>
    <w:rsid w:val="00464B9F"/>
    <w:rsid w:val="004650F4"/>
    <w:rsid w:val="0046766F"/>
    <w:rsid w:val="00470F21"/>
    <w:rsid w:val="00471705"/>
    <w:rsid w:val="004724B4"/>
    <w:rsid w:val="0047250F"/>
    <w:rsid w:val="00472928"/>
    <w:rsid w:val="00476523"/>
    <w:rsid w:val="0047687C"/>
    <w:rsid w:val="00476F0F"/>
    <w:rsid w:val="0047711A"/>
    <w:rsid w:val="00480431"/>
    <w:rsid w:val="00482094"/>
    <w:rsid w:val="0048227C"/>
    <w:rsid w:val="00483AF7"/>
    <w:rsid w:val="00491221"/>
    <w:rsid w:val="004914A3"/>
    <w:rsid w:val="0049187A"/>
    <w:rsid w:val="00491A2A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67F3"/>
    <w:rsid w:val="004D0448"/>
    <w:rsid w:val="004D0CE0"/>
    <w:rsid w:val="004D19D0"/>
    <w:rsid w:val="004D1E8E"/>
    <w:rsid w:val="004D4FC9"/>
    <w:rsid w:val="004D51EB"/>
    <w:rsid w:val="004D52D8"/>
    <w:rsid w:val="004E1916"/>
    <w:rsid w:val="004E2DB5"/>
    <w:rsid w:val="004E3384"/>
    <w:rsid w:val="004E655B"/>
    <w:rsid w:val="004E7AB8"/>
    <w:rsid w:val="004F0AAE"/>
    <w:rsid w:val="004F0CCC"/>
    <w:rsid w:val="004F2129"/>
    <w:rsid w:val="004F325B"/>
    <w:rsid w:val="004F4195"/>
    <w:rsid w:val="004F6753"/>
    <w:rsid w:val="004F6898"/>
    <w:rsid w:val="0050203D"/>
    <w:rsid w:val="0050206D"/>
    <w:rsid w:val="00502214"/>
    <w:rsid w:val="0050459D"/>
    <w:rsid w:val="00505371"/>
    <w:rsid w:val="005058BB"/>
    <w:rsid w:val="005066A2"/>
    <w:rsid w:val="005128F4"/>
    <w:rsid w:val="00512ABD"/>
    <w:rsid w:val="0052004B"/>
    <w:rsid w:val="0052077A"/>
    <w:rsid w:val="005216FB"/>
    <w:rsid w:val="00521B65"/>
    <w:rsid w:val="00523165"/>
    <w:rsid w:val="00523775"/>
    <w:rsid w:val="00523B4A"/>
    <w:rsid w:val="00525AB5"/>
    <w:rsid w:val="005270A4"/>
    <w:rsid w:val="005271A0"/>
    <w:rsid w:val="00527D8D"/>
    <w:rsid w:val="00530DE9"/>
    <w:rsid w:val="00531FB3"/>
    <w:rsid w:val="005345A4"/>
    <w:rsid w:val="0053501C"/>
    <w:rsid w:val="005352F2"/>
    <w:rsid w:val="00535837"/>
    <w:rsid w:val="00535EE8"/>
    <w:rsid w:val="005376CF"/>
    <w:rsid w:val="0054037A"/>
    <w:rsid w:val="00543644"/>
    <w:rsid w:val="005446F2"/>
    <w:rsid w:val="00545A7F"/>
    <w:rsid w:val="00546AF3"/>
    <w:rsid w:val="0055022F"/>
    <w:rsid w:val="0055403F"/>
    <w:rsid w:val="00554CFD"/>
    <w:rsid w:val="005551F9"/>
    <w:rsid w:val="00555BE1"/>
    <w:rsid w:val="0055623D"/>
    <w:rsid w:val="00556F1A"/>
    <w:rsid w:val="005578F4"/>
    <w:rsid w:val="0056115F"/>
    <w:rsid w:val="005617E6"/>
    <w:rsid w:val="005645E0"/>
    <w:rsid w:val="005669D4"/>
    <w:rsid w:val="00571E23"/>
    <w:rsid w:val="005741A2"/>
    <w:rsid w:val="005756D8"/>
    <w:rsid w:val="00576ECD"/>
    <w:rsid w:val="005805F8"/>
    <w:rsid w:val="00580FB3"/>
    <w:rsid w:val="00590EBA"/>
    <w:rsid w:val="00593E50"/>
    <w:rsid w:val="00594037"/>
    <w:rsid w:val="00594DA3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C7430"/>
    <w:rsid w:val="005D0BEE"/>
    <w:rsid w:val="005D115F"/>
    <w:rsid w:val="005D225C"/>
    <w:rsid w:val="005D4CB7"/>
    <w:rsid w:val="005E2930"/>
    <w:rsid w:val="005E33FA"/>
    <w:rsid w:val="005E3D7B"/>
    <w:rsid w:val="005E3E8C"/>
    <w:rsid w:val="005E40CD"/>
    <w:rsid w:val="005E55FF"/>
    <w:rsid w:val="005E77C4"/>
    <w:rsid w:val="005E7DF3"/>
    <w:rsid w:val="005F1C47"/>
    <w:rsid w:val="005F3CCA"/>
    <w:rsid w:val="005F4FF0"/>
    <w:rsid w:val="005F59BA"/>
    <w:rsid w:val="005F665D"/>
    <w:rsid w:val="00600EC5"/>
    <w:rsid w:val="006035D6"/>
    <w:rsid w:val="00603D32"/>
    <w:rsid w:val="006057B5"/>
    <w:rsid w:val="00607894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00D3"/>
    <w:rsid w:val="00651839"/>
    <w:rsid w:val="00653544"/>
    <w:rsid w:val="00655AC4"/>
    <w:rsid w:val="00656AB2"/>
    <w:rsid w:val="00657B52"/>
    <w:rsid w:val="00663AD3"/>
    <w:rsid w:val="006643E9"/>
    <w:rsid w:val="0066610D"/>
    <w:rsid w:val="006663CB"/>
    <w:rsid w:val="0067167D"/>
    <w:rsid w:val="0067354A"/>
    <w:rsid w:val="00680879"/>
    <w:rsid w:val="00680B3F"/>
    <w:rsid w:val="0068157D"/>
    <w:rsid w:val="00686F7B"/>
    <w:rsid w:val="00687887"/>
    <w:rsid w:val="006911C1"/>
    <w:rsid w:val="006928BD"/>
    <w:rsid w:val="00693570"/>
    <w:rsid w:val="00693F3B"/>
    <w:rsid w:val="0069438B"/>
    <w:rsid w:val="006960D9"/>
    <w:rsid w:val="006A0065"/>
    <w:rsid w:val="006A1EDB"/>
    <w:rsid w:val="006A36D6"/>
    <w:rsid w:val="006A3E63"/>
    <w:rsid w:val="006A435E"/>
    <w:rsid w:val="006A54EB"/>
    <w:rsid w:val="006A6BE1"/>
    <w:rsid w:val="006A6F97"/>
    <w:rsid w:val="006B0D25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456D"/>
    <w:rsid w:val="006C5A8B"/>
    <w:rsid w:val="006C779A"/>
    <w:rsid w:val="006C7A98"/>
    <w:rsid w:val="006D0034"/>
    <w:rsid w:val="006D045F"/>
    <w:rsid w:val="006D1B8F"/>
    <w:rsid w:val="006D2FCF"/>
    <w:rsid w:val="006D3772"/>
    <w:rsid w:val="006D3D0B"/>
    <w:rsid w:val="006D7347"/>
    <w:rsid w:val="006D76F2"/>
    <w:rsid w:val="006E032D"/>
    <w:rsid w:val="006E079C"/>
    <w:rsid w:val="006E33AA"/>
    <w:rsid w:val="006E3757"/>
    <w:rsid w:val="006E6FE7"/>
    <w:rsid w:val="006F0F62"/>
    <w:rsid w:val="006F1098"/>
    <w:rsid w:val="006F268F"/>
    <w:rsid w:val="006F372A"/>
    <w:rsid w:val="006F779B"/>
    <w:rsid w:val="00701688"/>
    <w:rsid w:val="00702AAB"/>
    <w:rsid w:val="00705D9F"/>
    <w:rsid w:val="00706171"/>
    <w:rsid w:val="00706C55"/>
    <w:rsid w:val="00710F55"/>
    <w:rsid w:val="00714672"/>
    <w:rsid w:val="00717A3D"/>
    <w:rsid w:val="00720018"/>
    <w:rsid w:val="00720960"/>
    <w:rsid w:val="007211CF"/>
    <w:rsid w:val="00721510"/>
    <w:rsid w:val="00721D8C"/>
    <w:rsid w:val="00722982"/>
    <w:rsid w:val="00722CA7"/>
    <w:rsid w:val="00722E0A"/>
    <w:rsid w:val="007234E3"/>
    <w:rsid w:val="00725A14"/>
    <w:rsid w:val="00727FBB"/>
    <w:rsid w:val="007313FC"/>
    <w:rsid w:val="0073368F"/>
    <w:rsid w:val="007417D8"/>
    <w:rsid w:val="007417FE"/>
    <w:rsid w:val="00743360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BD4"/>
    <w:rsid w:val="00754DDB"/>
    <w:rsid w:val="00757281"/>
    <w:rsid w:val="0075764D"/>
    <w:rsid w:val="00766689"/>
    <w:rsid w:val="00766BC3"/>
    <w:rsid w:val="00766EC8"/>
    <w:rsid w:val="007671B2"/>
    <w:rsid w:val="00776B29"/>
    <w:rsid w:val="0078111F"/>
    <w:rsid w:val="007818D2"/>
    <w:rsid w:val="007872CE"/>
    <w:rsid w:val="007876BB"/>
    <w:rsid w:val="007920ED"/>
    <w:rsid w:val="00795BB0"/>
    <w:rsid w:val="007976C0"/>
    <w:rsid w:val="007B21AF"/>
    <w:rsid w:val="007B2A96"/>
    <w:rsid w:val="007B4B67"/>
    <w:rsid w:val="007B65F6"/>
    <w:rsid w:val="007C1127"/>
    <w:rsid w:val="007C35C2"/>
    <w:rsid w:val="007D1180"/>
    <w:rsid w:val="007D22B1"/>
    <w:rsid w:val="007D28EC"/>
    <w:rsid w:val="007D2E20"/>
    <w:rsid w:val="007D37B9"/>
    <w:rsid w:val="007D79B0"/>
    <w:rsid w:val="007E0B9F"/>
    <w:rsid w:val="007E15B8"/>
    <w:rsid w:val="007E5797"/>
    <w:rsid w:val="007E664D"/>
    <w:rsid w:val="007E67C0"/>
    <w:rsid w:val="007E7672"/>
    <w:rsid w:val="007F259D"/>
    <w:rsid w:val="007F30C3"/>
    <w:rsid w:val="007F3AD6"/>
    <w:rsid w:val="007F44DA"/>
    <w:rsid w:val="007F485B"/>
    <w:rsid w:val="007F5741"/>
    <w:rsid w:val="007F73CD"/>
    <w:rsid w:val="007F7E5C"/>
    <w:rsid w:val="008024EE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50D"/>
    <w:rsid w:val="00824956"/>
    <w:rsid w:val="00825D66"/>
    <w:rsid w:val="00826603"/>
    <w:rsid w:val="00832B04"/>
    <w:rsid w:val="00833CA1"/>
    <w:rsid w:val="00837295"/>
    <w:rsid w:val="0083740E"/>
    <w:rsid w:val="00840772"/>
    <w:rsid w:val="00842D10"/>
    <w:rsid w:val="00845288"/>
    <w:rsid w:val="008459E2"/>
    <w:rsid w:val="00845C42"/>
    <w:rsid w:val="00845F0B"/>
    <w:rsid w:val="00846343"/>
    <w:rsid w:val="00846649"/>
    <w:rsid w:val="00846C6B"/>
    <w:rsid w:val="00847F6F"/>
    <w:rsid w:val="0085011F"/>
    <w:rsid w:val="00854F1C"/>
    <w:rsid w:val="008571A5"/>
    <w:rsid w:val="00857D6C"/>
    <w:rsid w:val="00857F3F"/>
    <w:rsid w:val="00860C51"/>
    <w:rsid w:val="00860FC1"/>
    <w:rsid w:val="008628AE"/>
    <w:rsid w:val="00863E9C"/>
    <w:rsid w:val="0086579B"/>
    <w:rsid w:val="0086619C"/>
    <w:rsid w:val="00866AD9"/>
    <w:rsid w:val="008706CB"/>
    <w:rsid w:val="00871C60"/>
    <w:rsid w:val="0087211E"/>
    <w:rsid w:val="00872193"/>
    <w:rsid w:val="00872BDB"/>
    <w:rsid w:val="0087376F"/>
    <w:rsid w:val="00873FCE"/>
    <w:rsid w:val="00874D63"/>
    <w:rsid w:val="008753CA"/>
    <w:rsid w:val="00876A6A"/>
    <w:rsid w:val="008801E4"/>
    <w:rsid w:val="00881C33"/>
    <w:rsid w:val="00883F2B"/>
    <w:rsid w:val="00887457"/>
    <w:rsid w:val="008904AB"/>
    <w:rsid w:val="00893415"/>
    <w:rsid w:val="0089635B"/>
    <w:rsid w:val="008966E2"/>
    <w:rsid w:val="0089728C"/>
    <w:rsid w:val="008A190D"/>
    <w:rsid w:val="008A20F4"/>
    <w:rsid w:val="008A2160"/>
    <w:rsid w:val="008A4346"/>
    <w:rsid w:val="008A75E6"/>
    <w:rsid w:val="008B2BAA"/>
    <w:rsid w:val="008B4265"/>
    <w:rsid w:val="008B580D"/>
    <w:rsid w:val="008B7E7B"/>
    <w:rsid w:val="008C1215"/>
    <w:rsid w:val="008C23F5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A28"/>
    <w:rsid w:val="008E2B5C"/>
    <w:rsid w:val="008E2F01"/>
    <w:rsid w:val="008F1805"/>
    <w:rsid w:val="008F2DD6"/>
    <w:rsid w:val="008F3BBD"/>
    <w:rsid w:val="008F3E04"/>
    <w:rsid w:val="008F7209"/>
    <w:rsid w:val="008F74CF"/>
    <w:rsid w:val="0090009D"/>
    <w:rsid w:val="00905394"/>
    <w:rsid w:val="00905E99"/>
    <w:rsid w:val="009107B3"/>
    <w:rsid w:val="009117C2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4AD9"/>
    <w:rsid w:val="00925137"/>
    <w:rsid w:val="0092544E"/>
    <w:rsid w:val="00925967"/>
    <w:rsid w:val="009261EA"/>
    <w:rsid w:val="00927D36"/>
    <w:rsid w:val="0093483A"/>
    <w:rsid w:val="00936FEA"/>
    <w:rsid w:val="009408B4"/>
    <w:rsid w:val="0094097E"/>
    <w:rsid w:val="00942DE9"/>
    <w:rsid w:val="00944162"/>
    <w:rsid w:val="009442C3"/>
    <w:rsid w:val="00944304"/>
    <w:rsid w:val="00947153"/>
    <w:rsid w:val="00947F38"/>
    <w:rsid w:val="00951A2E"/>
    <w:rsid w:val="00956B6E"/>
    <w:rsid w:val="00957312"/>
    <w:rsid w:val="0096013D"/>
    <w:rsid w:val="00963277"/>
    <w:rsid w:val="00964901"/>
    <w:rsid w:val="009652EF"/>
    <w:rsid w:val="00970417"/>
    <w:rsid w:val="0097068B"/>
    <w:rsid w:val="00970E30"/>
    <w:rsid w:val="00971AEF"/>
    <w:rsid w:val="009726BA"/>
    <w:rsid w:val="00980556"/>
    <w:rsid w:val="00985DAE"/>
    <w:rsid w:val="00986C79"/>
    <w:rsid w:val="00987E08"/>
    <w:rsid w:val="00991FFE"/>
    <w:rsid w:val="00994D7E"/>
    <w:rsid w:val="0099531A"/>
    <w:rsid w:val="009974AF"/>
    <w:rsid w:val="009976EE"/>
    <w:rsid w:val="00997FBF"/>
    <w:rsid w:val="009A0523"/>
    <w:rsid w:val="009A403F"/>
    <w:rsid w:val="009A410E"/>
    <w:rsid w:val="009B0B56"/>
    <w:rsid w:val="009B1DA0"/>
    <w:rsid w:val="009B43E2"/>
    <w:rsid w:val="009B503C"/>
    <w:rsid w:val="009B5C70"/>
    <w:rsid w:val="009C0230"/>
    <w:rsid w:val="009C119B"/>
    <w:rsid w:val="009C2697"/>
    <w:rsid w:val="009C6B1C"/>
    <w:rsid w:val="009D11D7"/>
    <w:rsid w:val="009D4F13"/>
    <w:rsid w:val="009D65BA"/>
    <w:rsid w:val="009D6608"/>
    <w:rsid w:val="009D786F"/>
    <w:rsid w:val="009D7C33"/>
    <w:rsid w:val="009E1E14"/>
    <w:rsid w:val="009E7104"/>
    <w:rsid w:val="009F0148"/>
    <w:rsid w:val="009F1643"/>
    <w:rsid w:val="009F1BC9"/>
    <w:rsid w:val="009F7EBB"/>
    <w:rsid w:val="00A02EA0"/>
    <w:rsid w:val="00A0380E"/>
    <w:rsid w:val="00A03D04"/>
    <w:rsid w:val="00A0752D"/>
    <w:rsid w:val="00A101EF"/>
    <w:rsid w:val="00A10490"/>
    <w:rsid w:val="00A10657"/>
    <w:rsid w:val="00A1344D"/>
    <w:rsid w:val="00A14E5F"/>
    <w:rsid w:val="00A20104"/>
    <w:rsid w:val="00A2296B"/>
    <w:rsid w:val="00A24FA1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1E9F"/>
    <w:rsid w:val="00A425F0"/>
    <w:rsid w:val="00A516C5"/>
    <w:rsid w:val="00A54514"/>
    <w:rsid w:val="00A545AC"/>
    <w:rsid w:val="00A55544"/>
    <w:rsid w:val="00A563DE"/>
    <w:rsid w:val="00A56C6B"/>
    <w:rsid w:val="00A6214C"/>
    <w:rsid w:val="00A64F1A"/>
    <w:rsid w:val="00A65B12"/>
    <w:rsid w:val="00A664B8"/>
    <w:rsid w:val="00A66B72"/>
    <w:rsid w:val="00A67BF6"/>
    <w:rsid w:val="00A745A7"/>
    <w:rsid w:val="00A761E9"/>
    <w:rsid w:val="00A76A9C"/>
    <w:rsid w:val="00A77260"/>
    <w:rsid w:val="00A80FE0"/>
    <w:rsid w:val="00A811B9"/>
    <w:rsid w:val="00A830DC"/>
    <w:rsid w:val="00A83128"/>
    <w:rsid w:val="00A835D1"/>
    <w:rsid w:val="00A85599"/>
    <w:rsid w:val="00A859E3"/>
    <w:rsid w:val="00A87C9B"/>
    <w:rsid w:val="00A900B3"/>
    <w:rsid w:val="00A90AF4"/>
    <w:rsid w:val="00A9131F"/>
    <w:rsid w:val="00A930AA"/>
    <w:rsid w:val="00A935AA"/>
    <w:rsid w:val="00A935E0"/>
    <w:rsid w:val="00A93B71"/>
    <w:rsid w:val="00A95064"/>
    <w:rsid w:val="00A95E95"/>
    <w:rsid w:val="00A9640C"/>
    <w:rsid w:val="00A97CAD"/>
    <w:rsid w:val="00AA1102"/>
    <w:rsid w:val="00AA2C96"/>
    <w:rsid w:val="00AA31AD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EB"/>
    <w:rsid w:val="00AD3F54"/>
    <w:rsid w:val="00AD5329"/>
    <w:rsid w:val="00AD7A18"/>
    <w:rsid w:val="00AD7CB7"/>
    <w:rsid w:val="00AE11C9"/>
    <w:rsid w:val="00AE18BE"/>
    <w:rsid w:val="00AE3AF4"/>
    <w:rsid w:val="00AE5008"/>
    <w:rsid w:val="00AF3AEE"/>
    <w:rsid w:val="00AF4992"/>
    <w:rsid w:val="00AF4A82"/>
    <w:rsid w:val="00AF5556"/>
    <w:rsid w:val="00AF6861"/>
    <w:rsid w:val="00B018A0"/>
    <w:rsid w:val="00B03594"/>
    <w:rsid w:val="00B05EEA"/>
    <w:rsid w:val="00B0783F"/>
    <w:rsid w:val="00B128E5"/>
    <w:rsid w:val="00B152A7"/>
    <w:rsid w:val="00B157A4"/>
    <w:rsid w:val="00B16548"/>
    <w:rsid w:val="00B225EE"/>
    <w:rsid w:val="00B23838"/>
    <w:rsid w:val="00B244EE"/>
    <w:rsid w:val="00B249D5"/>
    <w:rsid w:val="00B2711C"/>
    <w:rsid w:val="00B30681"/>
    <w:rsid w:val="00B30E5A"/>
    <w:rsid w:val="00B324EB"/>
    <w:rsid w:val="00B349D8"/>
    <w:rsid w:val="00B35CA5"/>
    <w:rsid w:val="00B36F44"/>
    <w:rsid w:val="00B4144A"/>
    <w:rsid w:val="00B42D27"/>
    <w:rsid w:val="00B43337"/>
    <w:rsid w:val="00B43CC8"/>
    <w:rsid w:val="00B464AE"/>
    <w:rsid w:val="00B47D73"/>
    <w:rsid w:val="00B536B1"/>
    <w:rsid w:val="00B538C3"/>
    <w:rsid w:val="00B54D2E"/>
    <w:rsid w:val="00B55C22"/>
    <w:rsid w:val="00B55D75"/>
    <w:rsid w:val="00B55E0D"/>
    <w:rsid w:val="00B56386"/>
    <w:rsid w:val="00B56728"/>
    <w:rsid w:val="00B57304"/>
    <w:rsid w:val="00B57AD4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85D82"/>
    <w:rsid w:val="00B92EB6"/>
    <w:rsid w:val="00B93D88"/>
    <w:rsid w:val="00B9457F"/>
    <w:rsid w:val="00B958CA"/>
    <w:rsid w:val="00B9620F"/>
    <w:rsid w:val="00BA0DAC"/>
    <w:rsid w:val="00BA1C31"/>
    <w:rsid w:val="00BA3D5E"/>
    <w:rsid w:val="00BA4A41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8DA"/>
    <w:rsid w:val="00BD5D3B"/>
    <w:rsid w:val="00BD67DC"/>
    <w:rsid w:val="00BE0651"/>
    <w:rsid w:val="00BE0C4A"/>
    <w:rsid w:val="00BE344F"/>
    <w:rsid w:val="00BE47D5"/>
    <w:rsid w:val="00BE70F0"/>
    <w:rsid w:val="00BE7BAC"/>
    <w:rsid w:val="00BF0B0D"/>
    <w:rsid w:val="00BF13E0"/>
    <w:rsid w:val="00BF40BE"/>
    <w:rsid w:val="00BF4994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5DB9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178"/>
    <w:rsid w:val="00C368D5"/>
    <w:rsid w:val="00C411E9"/>
    <w:rsid w:val="00C439C2"/>
    <w:rsid w:val="00C50EE1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5E97"/>
    <w:rsid w:val="00CC6324"/>
    <w:rsid w:val="00CC7D42"/>
    <w:rsid w:val="00CD00ED"/>
    <w:rsid w:val="00CD2E01"/>
    <w:rsid w:val="00CD447B"/>
    <w:rsid w:val="00CD5E5D"/>
    <w:rsid w:val="00CD72C9"/>
    <w:rsid w:val="00CE0645"/>
    <w:rsid w:val="00CE1237"/>
    <w:rsid w:val="00CE1D39"/>
    <w:rsid w:val="00CE2985"/>
    <w:rsid w:val="00CE2E69"/>
    <w:rsid w:val="00CE3328"/>
    <w:rsid w:val="00CE68D9"/>
    <w:rsid w:val="00CE6918"/>
    <w:rsid w:val="00CF2955"/>
    <w:rsid w:val="00CF7917"/>
    <w:rsid w:val="00D00EB8"/>
    <w:rsid w:val="00D02A57"/>
    <w:rsid w:val="00D05C36"/>
    <w:rsid w:val="00D12CC7"/>
    <w:rsid w:val="00D13457"/>
    <w:rsid w:val="00D13BC4"/>
    <w:rsid w:val="00D151B8"/>
    <w:rsid w:val="00D1568E"/>
    <w:rsid w:val="00D158AB"/>
    <w:rsid w:val="00D17856"/>
    <w:rsid w:val="00D2068A"/>
    <w:rsid w:val="00D20B3F"/>
    <w:rsid w:val="00D21038"/>
    <w:rsid w:val="00D215F7"/>
    <w:rsid w:val="00D22433"/>
    <w:rsid w:val="00D25EC4"/>
    <w:rsid w:val="00D25F29"/>
    <w:rsid w:val="00D27F12"/>
    <w:rsid w:val="00D32DA1"/>
    <w:rsid w:val="00D343A6"/>
    <w:rsid w:val="00D3532A"/>
    <w:rsid w:val="00D3564B"/>
    <w:rsid w:val="00D3686E"/>
    <w:rsid w:val="00D37426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665ED"/>
    <w:rsid w:val="00D67F3E"/>
    <w:rsid w:val="00D7190A"/>
    <w:rsid w:val="00D71ED1"/>
    <w:rsid w:val="00D72702"/>
    <w:rsid w:val="00D7555B"/>
    <w:rsid w:val="00D7566A"/>
    <w:rsid w:val="00D75CD6"/>
    <w:rsid w:val="00D75EC3"/>
    <w:rsid w:val="00D80590"/>
    <w:rsid w:val="00D80F1D"/>
    <w:rsid w:val="00D86B2C"/>
    <w:rsid w:val="00D86D05"/>
    <w:rsid w:val="00D93A04"/>
    <w:rsid w:val="00D955E7"/>
    <w:rsid w:val="00DA031E"/>
    <w:rsid w:val="00DA2973"/>
    <w:rsid w:val="00DA2B2C"/>
    <w:rsid w:val="00DA4049"/>
    <w:rsid w:val="00DA49CB"/>
    <w:rsid w:val="00DA59D1"/>
    <w:rsid w:val="00DA66D5"/>
    <w:rsid w:val="00DA7086"/>
    <w:rsid w:val="00DB0F22"/>
    <w:rsid w:val="00DB11BA"/>
    <w:rsid w:val="00DB2773"/>
    <w:rsid w:val="00DB2854"/>
    <w:rsid w:val="00DB635D"/>
    <w:rsid w:val="00DB7F5D"/>
    <w:rsid w:val="00DC0D1A"/>
    <w:rsid w:val="00DC21DF"/>
    <w:rsid w:val="00DC22E6"/>
    <w:rsid w:val="00DC250D"/>
    <w:rsid w:val="00DC275C"/>
    <w:rsid w:val="00DC3362"/>
    <w:rsid w:val="00DC4341"/>
    <w:rsid w:val="00DC4C18"/>
    <w:rsid w:val="00DC6F9D"/>
    <w:rsid w:val="00DD0EE9"/>
    <w:rsid w:val="00DD138A"/>
    <w:rsid w:val="00DD1D01"/>
    <w:rsid w:val="00DD373D"/>
    <w:rsid w:val="00DD7EA5"/>
    <w:rsid w:val="00DE024E"/>
    <w:rsid w:val="00DE1D62"/>
    <w:rsid w:val="00DE24CB"/>
    <w:rsid w:val="00DE4DC5"/>
    <w:rsid w:val="00DE54B1"/>
    <w:rsid w:val="00DE60A2"/>
    <w:rsid w:val="00DE71B0"/>
    <w:rsid w:val="00DF00E6"/>
    <w:rsid w:val="00DF0E32"/>
    <w:rsid w:val="00DF1856"/>
    <w:rsid w:val="00DF3C19"/>
    <w:rsid w:val="00DF4EE7"/>
    <w:rsid w:val="00E02D0D"/>
    <w:rsid w:val="00E044D9"/>
    <w:rsid w:val="00E052DA"/>
    <w:rsid w:val="00E05681"/>
    <w:rsid w:val="00E116C1"/>
    <w:rsid w:val="00E14E96"/>
    <w:rsid w:val="00E15577"/>
    <w:rsid w:val="00E20398"/>
    <w:rsid w:val="00E21352"/>
    <w:rsid w:val="00E2356A"/>
    <w:rsid w:val="00E24775"/>
    <w:rsid w:val="00E2710F"/>
    <w:rsid w:val="00E27651"/>
    <w:rsid w:val="00E30A30"/>
    <w:rsid w:val="00E3129E"/>
    <w:rsid w:val="00E3733F"/>
    <w:rsid w:val="00E37F6D"/>
    <w:rsid w:val="00E42236"/>
    <w:rsid w:val="00E45D5E"/>
    <w:rsid w:val="00E46817"/>
    <w:rsid w:val="00E47188"/>
    <w:rsid w:val="00E478B7"/>
    <w:rsid w:val="00E512BB"/>
    <w:rsid w:val="00E52CED"/>
    <w:rsid w:val="00E54BE5"/>
    <w:rsid w:val="00E55777"/>
    <w:rsid w:val="00E5676C"/>
    <w:rsid w:val="00E57A9C"/>
    <w:rsid w:val="00E57CFF"/>
    <w:rsid w:val="00E57FB8"/>
    <w:rsid w:val="00E60EF1"/>
    <w:rsid w:val="00E6281B"/>
    <w:rsid w:val="00E64AE3"/>
    <w:rsid w:val="00E6594F"/>
    <w:rsid w:val="00E71601"/>
    <w:rsid w:val="00E73855"/>
    <w:rsid w:val="00E75107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9F0"/>
    <w:rsid w:val="00E97A76"/>
    <w:rsid w:val="00E97FD5"/>
    <w:rsid w:val="00EA0BE8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0095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D08"/>
    <w:rsid w:val="00EE7FFE"/>
    <w:rsid w:val="00EF31B2"/>
    <w:rsid w:val="00EF390F"/>
    <w:rsid w:val="00EF486E"/>
    <w:rsid w:val="00EF62D0"/>
    <w:rsid w:val="00EF6D05"/>
    <w:rsid w:val="00F0151D"/>
    <w:rsid w:val="00F0215C"/>
    <w:rsid w:val="00F10B23"/>
    <w:rsid w:val="00F1234A"/>
    <w:rsid w:val="00F1374D"/>
    <w:rsid w:val="00F141F4"/>
    <w:rsid w:val="00F15677"/>
    <w:rsid w:val="00F2327D"/>
    <w:rsid w:val="00F2553E"/>
    <w:rsid w:val="00F2656E"/>
    <w:rsid w:val="00F27ED1"/>
    <w:rsid w:val="00F310EE"/>
    <w:rsid w:val="00F31CD8"/>
    <w:rsid w:val="00F3306A"/>
    <w:rsid w:val="00F34E14"/>
    <w:rsid w:val="00F3665B"/>
    <w:rsid w:val="00F36A35"/>
    <w:rsid w:val="00F370CB"/>
    <w:rsid w:val="00F4196F"/>
    <w:rsid w:val="00F4211F"/>
    <w:rsid w:val="00F426B2"/>
    <w:rsid w:val="00F46B32"/>
    <w:rsid w:val="00F46E7F"/>
    <w:rsid w:val="00F502DF"/>
    <w:rsid w:val="00F53C17"/>
    <w:rsid w:val="00F560EF"/>
    <w:rsid w:val="00F565C8"/>
    <w:rsid w:val="00F5666F"/>
    <w:rsid w:val="00F57ACB"/>
    <w:rsid w:val="00F63393"/>
    <w:rsid w:val="00F6474A"/>
    <w:rsid w:val="00F6627F"/>
    <w:rsid w:val="00F7093F"/>
    <w:rsid w:val="00F72AC6"/>
    <w:rsid w:val="00F73B9B"/>
    <w:rsid w:val="00F76560"/>
    <w:rsid w:val="00F76C3D"/>
    <w:rsid w:val="00F80225"/>
    <w:rsid w:val="00F80C2B"/>
    <w:rsid w:val="00F8336C"/>
    <w:rsid w:val="00F84E8B"/>
    <w:rsid w:val="00F864F8"/>
    <w:rsid w:val="00F867BA"/>
    <w:rsid w:val="00F8706B"/>
    <w:rsid w:val="00F937DB"/>
    <w:rsid w:val="00F93AC5"/>
    <w:rsid w:val="00F93CE7"/>
    <w:rsid w:val="00F95268"/>
    <w:rsid w:val="00F96958"/>
    <w:rsid w:val="00F9743A"/>
    <w:rsid w:val="00FA01E8"/>
    <w:rsid w:val="00FA0B21"/>
    <w:rsid w:val="00FA346C"/>
    <w:rsid w:val="00FA724D"/>
    <w:rsid w:val="00FA7C4A"/>
    <w:rsid w:val="00FB09DD"/>
    <w:rsid w:val="00FB1099"/>
    <w:rsid w:val="00FB23CF"/>
    <w:rsid w:val="00FB3567"/>
    <w:rsid w:val="00FB38CF"/>
    <w:rsid w:val="00FB4166"/>
    <w:rsid w:val="00FB4617"/>
    <w:rsid w:val="00FB51C0"/>
    <w:rsid w:val="00FB6C57"/>
    <w:rsid w:val="00FB7297"/>
    <w:rsid w:val="00FC09A7"/>
    <w:rsid w:val="00FC2B02"/>
    <w:rsid w:val="00FC340A"/>
    <w:rsid w:val="00FC3D00"/>
    <w:rsid w:val="00FC47B7"/>
    <w:rsid w:val="00FC50A6"/>
    <w:rsid w:val="00FC7B1A"/>
    <w:rsid w:val="00FD6173"/>
    <w:rsid w:val="00FE0719"/>
    <w:rsid w:val="00FE2182"/>
    <w:rsid w:val="00FE605D"/>
    <w:rsid w:val="00FE799B"/>
    <w:rsid w:val="00FE7C10"/>
    <w:rsid w:val="00FF0370"/>
    <w:rsid w:val="00FF0AFE"/>
    <w:rsid w:val="00FF221D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stat.gov.ua/sites/default/files/migration/files/2023/190_2023/190_2023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56389881520212"/>
          <c:y val="7.3406740073406737E-2"/>
          <c:w val="0.82889614240263187"/>
          <c:h val="0.5865145985880894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517868223250102E-2"/>
                  <c:y val="-5.3470793628273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2648099734097E-2"/>
                  <c:y val="-5.57470981257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5233719557157519E-2"/>
                  <c:y val="-4.8531996563492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2837206744048938E-2"/>
                  <c:y val="-5.5205336570165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5940988712363883E-2"/>
                  <c:y val="-4.1858656556819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9378896400228953E-2"/>
                  <c:y val="-4.853199656349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24643383235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348242569875229E-2"/>
                  <c:y val="-4.1946699369197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22080761593E-2"/>
                  <c:y val="-5.01661766753630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481134848320777E-2"/>
                      <c:h val="6.3697293093618559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5.3404424643383311E-2"/>
                  <c:y val="-6.250817746880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064093903782653E-2"/>
                  <c:y val="-4.8157343695401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363426821156194E-2"/>
                  <c:y val="-4.94536531281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555400859764828E-2"/>
                  <c:y val="-4.945365312819374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0.7</c:v>
                </c:pt>
                <c:pt idx="2">
                  <c:v>0.9</c:v>
                </c:pt>
                <c:pt idx="3">
                  <c:v>1.7</c:v>
                </c:pt>
                <c:pt idx="4">
                  <c:v>1.2</c:v>
                </c:pt>
                <c:pt idx="5">
                  <c:v>1</c:v>
                </c:pt>
                <c:pt idx="6">
                  <c:v>1</c:v>
                </c:pt>
                <c:pt idx="7">
                  <c:v>0.5</c:v>
                </c:pt>
                <c:pt idx="8">
                  <c:v>0.4</c:v>
                </c:pt>
                <c:pt idx="9">
                  <c:v>0</c:v>
                </c:pt>
                <c:pt idx="10">
                  <c:v>0.5</c:v>
                </c:pt>
                <c:pt idx="11">
                  <c:v>0.3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392272"/>
        <c:axId val="187393952"/>
      </c:lineChart>
      <c:catAx>
        <c:axId val="18739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7393952"/>
        <c:crosses val="autoZero"/>
        <c:auto val="1"/>
        <c:lblAlgn val="ctr"/>
        <c:lblOffset val="100"/>
        <c:noMultiLvlLbl val="0"/>
      </c:catAx>
      <c:valAx>
        <c:axId val="187393952"/>
        <c:scaling>
          <c:orientation val="minMax"/>
          <c:max val="2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739227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527876484644348"/>
          <c:y val="0.82791873238067459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60420974915E-2"/>
          <c:y val="8.8370026301917301E-2"/>
          <c:w val="0.86944017776053473"/>
          <c:h val="0.627614670842724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6838636495359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435174665524569E-2"/>
                  <c:y val="-5.5835134172897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435174665524569E-2"/>
                  <c:y val="-5.7991725797682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513309129525E-2"/>
                  <c:y val="-5.7991725797682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83513309129483E-2"/>
                  <c:y val="-5.0981561058810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569233636419021E-2"/>
                      <c:h val="8.0932627901007637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5.7883626808686986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8253916998545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251E-2"/>
                  <c:y val="-5.6502479776778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248456198407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448930001182719E-2"/>
                  <c:y val="-5.166270619957994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>
                  <c15:layout>
                    <c:manualLayout>
                      <c:w val="8.1224217705604285E-2"/>
                      <c:h val="7.3922463162136284E-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3.0898612639282629E-2"/>
                  <c:y val="-5.41692540798330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0.7</c:v>
                </c:pt>
                <c:pt idx="1">
                  <c:v>1.6</c:v>
                </c:pt>
                <c:pt idx="2">
                  <c:v>3.3</c:v>
                </c:pt>
                <c:pt idx="3">
                  <c:v>4.5999999999999996</c:v>
                </c:pt>
                <c:pt idx="4">
                  <c:v>5.6</c:v>
                </c:pt>
                <c:pt idx="5">
                  <c:v>6.7</c:v>
                </c:pt>
                <c:pt idx="6">
                  <c:v>7.2</c:v>
                </c:pt>
                <c:pt idx="7">
                  <c:v>7.6</c:v>
                </c:pt>
                <c:pt idx="8">
                  <c:v>7.6</c:v>
                </c:pt>
                <c:pt idx="9">
                  <c:v>8.1999999999999993</c:v>
                </c:pt>
                <c:pt idx="10">
                  <c:v>8.5</c:v>
                </c:pt>
                <c:pt idx="11">
                  <c:v>8.8000000000000007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959840"/>
        <c:axId val="261960400"/>
      </c:lineChart>
      <c:catAx>
        <c:axId val="261959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60400"/>
        <c:crosses val="autoZero"/>
        <c:auto val="1"/>
        <c:lblAlgn val="ctr"/>
        <c:lblOffset val="100"/>
        <c:noMultiLvlLbl val="0"/>
      </c:catAx>
      <c:valAx>
        <c:axId val="261960400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5984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87166147904524"/>
          <c:y val="0.85557625486088684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8.834333281268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8.774428283979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933E-2"/>
                  <c:y val="-8.095168092319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13898692425101E-2"/>
                  <c:y val="-9.385422504800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9.300158950376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00158950376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8.998796387324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076860092973508E-2"/>
                  <c:y val="-8.17592958406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8093345534929991E-2"/>
                  <c:y val="6.1703984784865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8.18842510497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9.1360633596413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7.855272466670944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0.3</c:v>
                </c:pt>
                <c:pt idx="2">
                  <c:v>1.2</c:v>
                </c:pt>
                <c:pt idx="3">
                  <c:v>2.6</c:v>
                </c:pt>
                <c:pt idx="4">
                  <c:v>2.2000000000000002</c:v>
                </c:pt>
                <c:pt idx="5">
                  <c:v>2</c:v>
                </c:pt>
                <c:pt idx="6">
                  <c:v>1.6</c:v>
                </c:pt>
                <c:pt idx="7">
                  <c:v>0.4</c:v>
                </c:pt>
                <c:pt idx="8">
                  <c:v>0.5</c:v>
                </c:pt>
                <c:pt idx="9">
                  <c:v>-1.1000000000000001</c:v>
                </c:pt>
                <c:pt idx="10">
                  <c:v>1.3</c:v>
                </c:pt>
                <c:pt idx="11">
                  <c:v>0.2</c:v>
                </c:pt>
                <c:pt idx="12">
                  <c:v>-0.4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962640"/>
        <c:axId val="261963200"/>
      </c:lineChart>
      <c:catAx>
        <c:axId val="261962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63200"/>
        <c:crosses val="autoZero"/>
        <c:auto val="1"/>
        <c:lblAlgn val="ctr"/>
        <c:lblOffset val="200"/>
        <c:noMultiLvlLbl val="0"/>
      </c:catAx>
      <c:valAx>
        <c:axId val="261963200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62640"/>
        <c:crosses val="autoZero"/>
        <c:crossBetween val="midCat"/>
        <c:majorUnit val="1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9494408801093496E-2"/>
                  <c:y val="9.8354450151140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8.99879638732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858340793247711E-2"/>
                  <c:y val="-8.175929584064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-8.8154981210779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9.34279072758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950937291876688E-2"/>
                  <c:y val="9.3269875687942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1841499932736285E-2"/>
                  <c:y val="8.50412076553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17992150898E-2"/>
                  <c:y val="9.326987568794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127E-2"/>
                  <c:y val="-8.072382142430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428872003601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8.8279936419849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136063359641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7.969202216117389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0.6</c:v>
                </c:pt>
                <c:pt idx="2">
                  <c:v>0.2</c:v>
                </c:pt>
                <c:pt idx="3">
                  <c:v>0.1</c:v>
                </c:pt>
                <c:pt idx="4">
                  <c:v>0.1</c:v>
                </c:pt>
                <c:pt idx="5">
                  <c:v>-0.1</c:v>
                </c:pt>
                <c:pt idx="6">
                  <c:v>-0.2</c:v>
                </c:pt>
                <c:pt idx="7">
                  <c:v>-0.1</c:v>
                </c:pt>
                <c:pt idx="8">
                  <c:v>0</c:v>
                </c:pt>
                <c:pt idx="9">
                  <c:v>0.2</c:v>
                </c:pt>
                <c:pt idx="10">
                  <c:v>0.2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965440"/>
        <c:axId val="261966000"/>
      </c:lineChart>
      <c:catAx>
        <c:axId val="26196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66000"/>
        <c:crosses val="autoZero"/>
        <c:auto val="1"/>
        <c:lblAlgn val="ctr"/>
        <c:lblOffset val="200"/>
        <c:noMultiLvlLbl val="0"/>
      </c:catAx>
      <c:valAx>
        <c:axId val="261966000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196544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9494408801093503E-2"/>
                  <c:y val="-8.4589290959568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9.0353146289926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3342334915716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39E-2"/>
                  <c:y val="-8.4133526630470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9.37936458303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7936458303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1841499932736285E-2"/>
                  <c:y val="-9.0353146289926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13898692425101E-2"/>
                  <c:y val="-9.37936458303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8074893665072E-2"/>
                  <c:y val="9.371689549636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1841499932736285E-2"/>
                  <c:y val="7.962515515885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-8.188407856960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0771956754503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9.07719567545031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1.3</c:v>
                </c:pt>
                <c:pt idx="2">
                  <c:v>0.8</c:v>
                </c:pt>
                <c:pt idx="3">
                  <c:v>1.3</c:v>
                </c:pt>
                <c:pt idx="4">
                  <c:v>0.7</c:v>
                </c:pt>
                <c:pt idx="5">
                  <c:v>0.1</c:v>
                </c:pt>
                <c:pt idx="6">
                  <c:v>0.1</c:v>
                </c:pt>
                <c:pt idx="7">
                  <c:v>1.7</c:v>
                </c:pt>
                <c:pt idx="8">
                  <c:v>-0.1</c:v>
                </c:pt>
                <c:pt idx="9">
                  <c:v>-0.6</c:v>
                </c:pt>
                <c:pt idx="10">
                  <c:v>0.3</c:v>
                </c:pt>
                <c:pt idx="11">
                  <c:v>0.3</c:v>
                </c:pt>
                <c:pt idx="12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150256"/>
        <c:axId val="263150816"/>
      </c:lineChart>
      <c:catAx>
        <c:axId val="263150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3150816"/>
        <c:crosses val="autoZero"/>
        <c:auto val="1"/>
        <c:lblAlgn val="ctr"/>
        <c:lblOffset val="200"/>
        <c:noMultiLvlLbl val="0"/>
      </c:catAx>
      <c:valAx>
        <c:axId val="263150816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31502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92F52-A60B-473D-954B-66F2AFA0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3</Pages>
  <Words>3464</Words>
  <Characters>1976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CRK11038</cp:lastModifiedBy>
  <cp:revision>499</cp:revision>
  <dcterms:created xsi:type="dcterms:W3CDTF">2025-09-19T08:12:00Z</dcterms:created>
  <dcterms:modified xsi:type="dcterms:W3CDTF">2026-01-14T09:11:00Z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