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B31326" w:rsidRDefault="00B31326" w:rsidP="000322BC">
      <w:pPr>
        <w:tabs>
          <w:tab w:val="left" w:pos="709"/>
        </w:tabs>
        <w:spacing w:before="120" w:after="0" w:line="240" w:lineRule="auto"/>
        <w:rPr>
          <w:rFonts w:eastAsia="Times New Roman"/>
          <w:sz w:val="26"/>
          <w:szCs w:val="26"/>
          <w:lang w:eastAsia="ru-RU"/>
        </w:rPr>
      </w:pPr>
      <w:r>
        <w:rPr>
          <w:rFonts w:eastAsia="Times New Roman"/>
          <w:sz w:val="26"/>
          <w:szCs w:val="26"/>
          <w:lang w:eastAsia="ru-RU"/>
        </w:rPr>
        <w:t>18</w:t>
      </w:r>
      <w:r w:rsidR="00EC1A9A" w:rsidRPr="003F5A9D">
        <w:rPr>
          <w:rFonts w:eastAsia="Times New Roman"/>
          <w:sz w:val="26"/>
          <w:szCs w:val="26"/>
          <w:lang w:eastAsia="ru-RU"/>
        </w:rPr>
        <w:t>.</w:t>
      </w:r>
      <w:r w:rsidR="004A6055" w:rsidRPr="00B31326">
        <w:rPr>
          <w:rFonts w:eastAsia="Times New Roman"/>
          <w:sz w:val="26"/>
          <w:szCs w:val="26"/>
          <w:lang w:eastAsia="ru-RU"/>
        </w:rPr>
        <w:t>0</w:t>
      </w:r>
      <w:r>
        <w:rPr>
          <w:rFonts w:eastAsia="Times New Roman"/>
          <w:sz w:val="26"/>
          <w:szCs w:val="26"/>
          <w:lang w:eastAsia="ru-RU"/>
        </w:rPr>
        <w:t>4</w:t>
      </w:r>
      <w:r w:rsidR="001D789A" w:rsidRPr="004C70E2">
        <w:rPr>
          <w:rFonts w:eastAsia="Times New Roman"/>
          <w:sz w:val="26"/>
          <w:szCs w:val="26"/>
          <w:lang w:eastAsia="ru-RU"/>
        </w:rPr>
        <w:t>.20</w:t>
      </w:r>
      <w:r w:rsidR="00645EE1" w:rsidRPr="00B31326">
        <w:rPr>
          <w:rFonts w:eastAsia="Times New Roman"/>
          <w:sz w:val="26"/>
          <w:szCs w:val="26"/>
          <w:lang w:eastAsia="ru-RU"/>
        </w:rPr>
        <w:t>2</w:t>
      </w:r>
      <w:r w:rsidR="0028398C" w:rsidRPr="00B31326">
        <w:rPr>
          <w:rFonts w:eastAsia="Times New Roman"/>
          <w:sz w:val="26"/>
          <w:szCs w:val="26"/>
          <w:lang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B31326" w:rsidRPr="00B31326">
        <w:rPr>
          <w:rFonts w:eastAsia="Times New Roman"/>
          <w:b/>
          <w:sz w:val="26"/>
          <w:szCs w:val="26"/>
          <w:lang w:eastAsia="ru-RU"/>
        </w:rPr>
        <w:t>–</w:t>
      </w:r>
      <w:r w:rsidR="00B31326">
        <w:rPr>
          <w:rFonts w:eastAsia="Times New Roman"/>
          <w:b/>
          <w:sz w:val="26"/>
          <w:szCs w:val="26"/>
          <w:lang w:eastAsia="ru-RU"/>
        </w:rPr>
        <w:t>лютому</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28398C" w:rsidRPr="00B31326">
        <w:rPr>
          <w:rFonts w:eastAsia="Times New Roman"/>
          <w:b/>
          <w:sz w:val="26"/>
          <w:szCs w:val="26"/>
          <w:lang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січні</w:t>
      </w:r>
      <w:r w:rsidR="00B31326">
        <w:rPr>
          <w:rFonts w:eastAsia="Times New Roman"/>
          <w:sz w:val="26"/>
          <w:szCs w:val="26"/>
          <w:lang w:eastAsia="ru-RU"/>
        </w:rPr>
        <w:t>–лютому</w:t>
      </w:r>
      <w:r w:rsidR="00AF28E5" w:rsidRPr="00AF28E5">
        <w:rPr>
          <w:rFonts w:eastAsia="Times New Roman"/>
          <w:sz w:val="26"/>
          <w:szCs w:val="26"/>
          <w:lang w:eastAsia="ru-RU"/>
        </w:rPr>
        <w:t xml:space="preserve"> 202</w:t>
      </w:r>
      <w:r w:rsidR="0028398C" w:rsidRPr="00B31326">
        <w:rPr>
          <w:rFonts w:eastAsia="Times New Roman"/>
          <w:sz w:val="26"/>
          <w:szCs w:val="26"/>
          <w:lang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B31326">
        <w:rPr>
          <w:sz w:val="26"/>
          <w:szCs w:val="26"/>
        </w:rPr>
        <w:t>261306,2</w:t>
      </w:r>
      <w:r w:rsidRPr="00B32A0C">
        <w:rPr>
          <w:sz w:val="26"/>
          <w:szCs w:val="26"/>
        </w:rPr>
        <w:t xml:space="preserve"> тис.дол. США, або </w:t>
      </w:r>
      <w:r w:rsidR="00B31326">
        <w:rPr>
          <w:sz w:val="26"/>
          <w:szCs w:val="26"/>
        </w:rPr>
        <w:t>125,8</w:t>
      </w:r>
      <w:r w:rsidRPr="00B32A0C">
        <w:rPr>
          <w:sz w:val="26"/>
          <w:szCs w:val="26"/>
        </w:rPr>
        <w:t xml:space="preserve">% порівняно з </w:t>
      </w:r>
      <w:r w:rsidR="003A4524">
        <w:rPr>
          <w:sz w:val="26"/>
          <w:szCs w:val="26"/>
        </w:rPr>
        <w:t>січнем</w:t>
      </w:r>
      <w:r w:rsidR="00B31326">
        <w:rPr>
          <w:sz w:val="26"/>
          <w:szCs w:val="26"/>
        </w:rPr>
        <w:t>–лютим</w:t>
      </w:r>
      <w:r w:rsidR="003A4524">
        <w:rPr>
          <w:sz w:val="26"/>
          <w:szCs w:val="26"/>
        </w:rPr>
        <w:t xml:space="preserve"> </w:t>
      </w:r>
      <w:r w:rsidRPr="00B32A0C">
        <w:rPr>
          <w:sz w:val="26"/>
          <w:szCs w:val="26"/>
        </w:rPr>
        <w:t>202</w:t>
      </w:r>
      <w:r w:rsidR="0028398C" w:rsidRPr="00B31326">
        <w:rPr>
          <w:sz w:val="26"/>
          <w:szCs w:val="26"/>
        </w:rPr>
        <w:t>2</w:t>
      </w:r>
      <w:r w:rsidRPr="00B32A0C">
        <w:rPr>
          <w:sz w:val="26"/>
          <w:szCs w:val="26"/>
        </w:rPr>
        <w:t xml:space="preserve">р., імпорт – </w:t>
      </w:r>
      <w:r w:rsidR="00B31326">
        <w:rPr>
          <w:sz w:val="26"/>
          <w:szCs w:val="26"/>
        </w:rPr>
        <w:t>108282,1</w:t>
      </w:r>
      <w:r w:rsidRPr="00B32A0C">
        <w:rPr>
          <w:sz w:val="26"/>
          <w:szCs w:val="26"/>
        </w:rPr>
        <w:t xml:space="preserve"> тис.дол., або </w:t>
      </w:r>
      <w:r w:rsidR="00B31326">
        <w:rPr>
          <w:sz w:val="26"/>
          <w:szCs w:val="26"/>
        </w:rPr>
        <w:t>86,1</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B31326">
        <w:rPr>
          <w:sz w:val="26"/>
          <w:szCs w:val="26"/>
        </w:rPr>
        <w:t>153024,1</w:t>
      </w:r>
      <w:r w:rsidRPr="00B32A0C">
        <w:rPr>
          <w:sz w:val="26"/>
          <w:szCs w:val="26"/>
        </w:rPr>
        <w:t xml:space="preserve"> тис.дол. (у </w:t>
      </w:r>
      <w:r w:rsidR="003A4524">
        <w:rPr>
          <w:sz w:val="26"/>
          <w:szCs w:val="26"/>
        </w:rPr>
        <w:t>січні</w:t>
      </w:r>
      <w:r w:rsidR="00B31326">
        <w:rPr>
          <w:sz w:val="26"/>
          <w:szCs w:val="26"/>
        </w:rPr>
        <w:t>–лютому</w:t>
      </w:r>
      <w:r w:rsidR="003A4524">
        <w:rPr>
          <w:sz w:val="26"/>
          <w:szCs w:val="26"/>
        </w:rPr>
        <w:t xml:space="preserve">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B31326">
        <w:rPr>
          <w:sz w:val="26"/>
          <w:szCs w:val="26"/>
        </w:rPr>
        <w:t>20421,4</w:t>
      </w:r>
      <w:r w:rsidR="0028398C">
        <w:rPr>
          <w:sz w:val="26"/>
          <w:szCs w:val="26"/>
          <w:lang w:val="en-US"/>
        </w:rPr>
        <w:t>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6C01CA">
        <w:rPr>
          <w:sz w:val="26"/>
          <w:szCs w:val="26"/>
        </w:rPr>
        <w:t>2,</w:t>
      </w:r>
      <w:r w:rsidR="00B31326">
        <w:rPr>
          <w:sz w:val="26"/>
          <w:szCs w:val="26"/>
        </w:rPr>
        <w:t>4</w:t>
      </w:r>
      <w:r w:rsidR="006C01CA">
        <w:rPr>
          <w:sz w:val="26"/>
          <w:szCs w:val="26"/>
        </w:rPr>
        <w:t>1</w:t>
      </w:r>
      <w:r w:rsidR="0028398C">
        <w:rPr>
          <w:sz w:val="26"/>
          <w:szCs w:val="26"/>
        </w:rPr>
        <w:t xml:space="preserve"> </w:t>
      </w:r>
      <w:r w:rsidRPr="00B32A0C">
        <w:rPr>
          <w:sz w:val="26"/>
          <w:szCs w:val="26"/>
        </w:rPr>
        <w:t>(</w:t>
      </w:r>
      <w:r w:rsidR="003A4524" w:rsidRPr="00B32A0C">
        <w:rPr>
          <w:sz w:val="26"/>
          <w:szCs w:val="26"/>
        </w:rPr>
        <w:t xml:space="preserve">у </w:t>
      </w:r>
      <w:r w:rsidR="003A4524">
        <w:rPr>
          <w:sz w:val="26"/>
          <w:szCs w:val="26"/>
        </w:rPr>
        <w:t>січні</w:t>
      </w:r>
      <w:r w:rsidR="00B31326">
        <w:rPr>
          <w:sz w:val="26"/>
          <w:szCs w:val="26"/>
        </w:rPr>
        <w:t>–лютому</w:t>
      </w:r>
      <w:r w:rsidR="003A4524">
        <w:rPr>
          <w:sz w:val="26"/>
          <w:szCs w:val="26"/>
        </w:rPr>
        <w:t xml:space="preserve"> </w:t>
      </w:r>
      <w:r w:rsidR="003A4524" w:rsidRPr="00B32A0C">
        <w:rPr>
          <w:sz w:val="26"/>
          <w:szCs w:val="26"/>
        </w:rPr>
        <w:t>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1,</w:t>
      </w:r>
      <w:r w:rsidR="00B31326">
        <w:rPr>
          <w:sz w:val="26"/>
          <w:szCs w:val="26"/>
        </w:rPr>
        <w:t>1</w:t>
      </w:r>
      <w:r w:rsidR="0028398C">
        <w:rPr>
          <w:sz w:val="26"/>
          <w:szCs w:val="26"/>
        </w:rPr>
        <w:t>1</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Pr>
          <w:sz w:val="26"/>
          <w:szCs w:val="26"/>
        </w:rPr>
        <w:t>і</w:t>
      </w:r>
      <w:r w:rsidR="00D97D57">
        <w:rPr>
          <w:sz w:val="26"/>
          <w:szCs w:val="26"/>
        </w:rPr>
        <w:t>з</w:t>
      </w:r>
      <w:r w:rsidRPr="00331189">
        <w:rPr>
          <w:sz w:val="26"/>
          <w:szCs w:val="26"/>
        </w:rPr>
        <w:t xml:space="preserve"> </w:t>
      </w:r>
      <w:r w:rsidR="00344C0D">
        <w:rPr>
          <w:sz w:val="26"/>
          <w:szCs w:val="26"/>
          <w:lang w:val="ru-RU"/>
        </w:rPr>
        <w:t>109</w:t>
      </w:r>
      <w:r w:rsidRPr="00331189">
        <w:rPr>
          <w:sz w:val="26"/>
          <w:szCs w:val="26"/>
        </w:rPr>
        <w:t xml:space="preserve"> країн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r w:rsidRPr="008C3549">
        <w:rPr>
          <w:noProof/>
          <w:color w:val="000000"/>
          <w:lang w:eastAsia="uk-UA"/>
        </w:rPr>
        <w:drawing>
          <wp:inline distT="0" distB="0" distL="0" distR="0" wp14:anchorId="45B5B06D" wp14:editId="663E1698">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586F5C" w:rsidP="00412199">
      <w:pPr>
        <w:spacing w:after="0" w:line="240" w:lineRule="auto"/>
        <w:jc w:val="both"/>
        <w:rPr>
          <w:rFonts w:eastAsia="Times New Roman"/>
          <w:lang w:eastAsia="ru-RU"/>
        </w:rPr>
      </w:pPr>
      <w:r w:rsidRPr="004E5C5F">
        <w:rPr>
          <w:rFonts w:eastAsia="Times New Roman"/>
          <w:lang w:eastAsia="ru-RU"/>
        </w:rPr>
        <w:t>Спостереження охоплює усі регіони України, крім</w:t>
      </w:r>
      <w:r w:rsidRPr="00A755A7">
        <w:rPr>
          <w:rFonts w:eastAsia="Times New Roman"/>
          <w:lang w:eastAsia="ru-RU"/>
        </w:rPr>
        <w:t xml:space="preserve"> </w:t>
      </w:r>
      <w:r w:rsidR="00412199" w:rsidRPr="00995A2B">
        <w:rPr>
          <w:rFonts w:eastAsia="Times New Roman"/>
          <w:lang w:eastAsia="ru-RU"/>
        </w:rPr>
        <w:t>тимчасово окупованої території Автономної Республіки Крим, м.</w:t>
      </w:r>
      <w:r w:rsidR="00C10512">
        <w:rPr>
          <w:rFonts w:eastAsia="Times New Roman"/>
          <w:lang w:eastAsia="ru-RU"/>
        </w:rPr>
        <w:t>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r w:rsidR="007148B9" w:rsidRPr="007148B9">
        <w:rPr>
          <w:rStyle w:val="a7"/>
        </w:rPr>
        <w:t>https://zakon.rada.gov.ua/laws/show/2697%D0%B0-20#n2</w:t>
      </w:r>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за середньоквартальним курсом, розрахованим на основі щоденних офіційних курсів валют, установлених НБУ.</w:t>
      </w:r>
    </w:p>
    <w:p w:rsidR="00586F5C" w:rsidRDefault="00586F5C" w:rsidP="00586F5C">
      <w:pPr>
        <w:spacing w:before="100" w:after="0" w:line="240" w:lineRule="auto"/>
        <w:jc w:val="both"/>
      </w:pPr>
      <w:bookmarkStart w:id="0"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586F5C" w:rsidRPr="00A755A7" w:rsidRDefault="00586F5C" w:rsidP="00586F5C">
      <w:pPr>
        <w:spacing w:before="100" w:after="0" w:line="240" w:lineRule="auto"/>
        <w:jc w:val="both"/>
      </w:pPr>
    </w:p>
    <w:bookmarkEnd w:id="0"/>
    <w:p w:rsidR="00412199" w:rsidRPr="00966C7A" w:rsidRDefault="00412199" w:rsidP="00412199">
      <w:pPr>
        <w:spacing w:after="0" w:line="240" w:lineRule="auto"/>
        <w:jc w:val="both"/>
      </w:pPr>
      <w:r>
        <w:t xml:space="preserve">Методологічні положення: </w:t>
      </w:r>
      <w:hyperlink r:id="rId12" w:history="1">
        <w:r w:rsidR="007148B9" w:rsidRPr="007148B9">
          <w:rPr>
            <w:rStyle w:val="a7"/>
          </w:rPr>
          <w:t>https://ukrstat.gov.ua/norm_doc/2022/449/449.pdf</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1D45A5"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001D45A5"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r w:rsidRPr="00412199">
        <w:t>звітн</w:t>
      </w:r>
      <w:r w:rsidRPr="00412199">
        <w:rPr>
          <w:lang w:val="ru-RU"/>
        </w:rPr>
        <w:t>ий</w:t>
      </w:r>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Pr="00412199">
        <w:t>червні</w:t>
      </w:r>
      <w:r w:rsidRPr="00C25BF3">
        <w:t xml:space="preserve"> наступного за звітним року</w:t>
      </w:r>
      <w:r w:rsidRPr="00C3143D">
        <w:t>.</w:t>
      </w:r>
    </w:p>
    <w:p w:rsidR="00412199" w:rsidRDefault="00412199" w:rsidP="00412199">
      <w:pPr>
        <w:spacing w:after="0" w:line="240" w:lineRule="auto"/>
        <w:jc w:val="both"/>
      </w:pPr>
    </w:p>
    <w:p w:rsidR="00586F5C" w:rsidRPr="00A755A7" w:rsidRDefault="00586F5C" w:rsidP="00586F5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C43EBF" w:rsidRPr="000D43A5" w:rsidRDefault="007B4A66" w:rsidP="00C43EBF">
      <w:pPr>
        <w:spacing w:after="0" w:line="240" w:lineRule="auto"/>
        <w:jc w:val="both"/>
        <w:rPr>
          <w:lang w:eastAsia="uk-UA"/>
        </w:rPr>
      </w:pPr>
      <w:hyperlink r:id="rId13"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4"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01330A"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E5C5F">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344C0D">
        <w:rPr>
          <w:rFonts w:ascii="Calibri" w:hAnsi="Calibri"/>
          <w:color w:val="000000"/>
          <w:sz w:val="24"/>
          <w:szCs w:val="24"/>
          <w:lang w:val="uk-UA"/>
        </w:rPr>
        <w:t>–лютому</w:t>
      </w:r>
      <w:r w:rsidR="0099054B">
        <w:rPr>
          <w:rFonts w:ascii="Calibri" w:hAnsi="Calibri"/>
          <w:color w:val="000000"/>
          <w:sz w:val="24"/>
          <w:szCs w:val="24"/>
          <w:lang w:val="uk-UA"/>
        </w:rPr>
        <w:t xml:space="preserve"> 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031816">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C15A44">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–лютого</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–лютого</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344C0D" w:rsidRPr="00BA2084" w:rsidTr="00E92B92">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1815B7" w:rsidRDefault="00344C0D" w:rsidP="00344C0D">
            <w:pPr>
              <w:spacing w:after="0" w:line="300" w:lineRule="exact"/>
              <w:ind w:left="-85"/>
              <w:rPr>
                <w:rFonts w:eastAsia="Times New Roman"/>
                <w:b/>
                <w:bCs/>
                <w:lang w:eastAsia="ru-RU"/>
              </w:rPr>
            </w:pPr>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000000"/>
            </w:tcBorders>
          </w:tcPr>
          <w:p w:rsidR="00344C0D" w:rsidRPr="001815B7" w:rsidRDefault="00344C0D" w:rsidP="00344C0D">
            <w:pPr>
              <w:spacing w:after="0" w:line="300" w:lineRule="exact"/>
              <w:ind w:left="-85"/>
              <w:rPr>
                <w:rFonts w:eastAsia="Times New Roman"/>
                <w:b/>
                <w:bCs/>
                <w:lang w:eastAsia="ru-RU"/>
              </w:rPr>
            </w:pPr>
          </w:p>
        </w:tc>
        <w:tc>
          <w:tcPr>
            <w:tcW w:w="1163" w:type="dxa"/>
            <w:tcBorders>
              <w:top w:val="single"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b/>
                <w:bCs/>
                <w:lang w:eastAsia="uk-UA"/>
              </w:rPr>
            </w:pPr>
            <w:r w:rsidRPr="00E92B92">
              <w:rPr>
                <w:rFonts w:cs="Times New Roman CYR"/>
                <w:b/>
                <w:bCs/>
              </w:rPr>
              <w:t>261306,2</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b/>
                <w:bCs/>
              </w:rPr>
            </w:pPr>
            <w:r w:rsidRPr="00E92B92">
              <w:rPr>
                <w:rFonts w:cs="Times New Roman CYR"/>
                <w:b/>
                <w:bCs/>
              </w:rPr>
              <w:t>125,8</w:t>
            </w:r>
          </w:p>
        </w:tc>
        <w:tc>
          <w:tcPr>
            <w:tcW w:w="1134" w:type="dxa"/>
            <w:tcBorders>
              <w:top w:val="single" w:sz="4" w:space="0" w:color="000000"/>
              <w:left w:val="dotted" w:sz="4" w:space="0" w:color="000000"/>
              <w:bottom w:val="dotted" w:sz="4" w:space="0" w:color="000000"/>
              <w:right w:val="dotted" w:sz="4" w:space="0" w:color="000000"/>
            </w:tcBorders>
            <w:vAlign w:val="bottom"/>
          </w:tcPr>
          <w:p w:rsidR="00344C0D" w:rsidRPr="00E92B92" w:rsidRDefault="00344C0D" w:rsidP="00E92B92">
            <w:pPr>
              <w:spacing w:after="0" w:line="240" w:lineRule="auto"/>
              <w:jc w:val="right"/>
              <w:rPr>
                <w:rFonts w:cs="Times New Roman CYR"/>
                <w:b/>
                <w:bCs/>
              </w:rPr>
            </w:pPr>
            <w:r w:rsidRPr="00E92B92">
              <w:rPr>
                <w:rFonts w:cs="Times New Roman CYR"/>
                <w:b/>
                <w:bCs/>
              </w:rPr>
              <w:t>100,0</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b/>
                <w:bCs/>
              </w:rPr>
            </w:pPr>
            <w:r w:rsidRPr="00E92B92">
              <w:rPr>
                <w:rFonts w:cs="Times New Roman CYR"/>
                <w:b/>
                <w:bCs/>
              </w:rPr>
              <w:t>108282,1</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b/>
                <w:bCs/>
              </w:rPr>
            </w:pPr>
            <w:r w:rsidRPr="00E92B92">
              <w:rPr>
                <w:rFonts w:cs="Times New Roman CYR"/>
                <w:b/>
                <w:bCs/>
              </w:rPr>
              <w:t>86,1</w:t>
            </w:r>
          </w:p>
        </w:tc>
        <w:tc>
          <w:tcPr>
            <w:tcW w:w="1134" w:type="dxa"/>
            <w:tcBorders>
              <w:top w:val="single" w:sz="4" w:space="0" w:color="000000"/>
              <w:left w:val="dotted" w:sz="4" w:space="0" w:color="000000"/>
              <w:bottom w:val="dotted" w:sz="4" w:space="0" w:color="000000"/>
              <w:right w:val="dotted" w:sz="4" w:space="0" w:color="000000"/>
            </w:tcBorders>
            <w:vAlign w:val="bottom"/>
          </w:tcPr>
          <w:p w:rsidR="00344C0D" w:rsidRPr="00E92B92" w:rsidRDefault="00344C0D" w:rsidP="00E92B92">
            <w:pPr>
              <w:spacing w:after="0" w:line="240" w:lineRule="auto"/>
              <w:jc w:val="right"/>
              <w:rPr>
                <w:rFonts w:cs="Times New Roman CYR"/>
                <w:b/>
                <w:bCs/>
              </w:rPr>
            </w:pPr>
            <w:r w:rsidRPr="00E92B92">
              <w:rPr>
                <w:rFonts w:cs="Times New Roman CYR"/>
                <w:b/>
                <w:bCs/>
              </w:rPr>
              <w:t>100,0</w:t>
            </w:r>
          </w:p>
        </w:tc>
      </w:tr>
      <w:tr w:rsidR="006858E2"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E92B92" w:rsidRDefault="006858E2" w:rsidP="00E92B92">
            <w:pPr>
              <w:spacing w:after="0" w:line="240" w:lineRule="auto"/>
              <w:jc w:val="right"/>
              <w:rPr>
                <w:rFonts w:cs="Times New Roman CYR"/>
                <w:b/>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E92B92" w:rsidRDefault="006858E2" w:rsidP="00E92B92">
            <w:pPr>
              <w:spacing w:after="0" w:line="240" w:lineRule="auto"/>
              <w:jc w:val="right"/>
              <w:rPr>
                <w:b/>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E92B92" w:rsidRDefault="006858E2" w:rsidP="00E92B92">
            <w:pPr>
              <w:spacing w:after="0" w:line="240" w:lineRule="auto"/>
              <w:jc w:val="right"/>
              <w:rPr>
                <w:b/>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E92B92" w:rsidRDefault="006858E2" w:rsidP="00E92B92">
            <w:pPr>
              <w:spacing w:after="0" w:line="240" w:lineRule="auto"/>
              <w:jc w:val="right"/>
              <w:rPr>
                <w:b/>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E92B92" w:rsidRDefault="006858E2" w:rsidP="00E92B92">
            <w:pPr>
              <w:spacing w:after="0" w:line="240" w:lineRule="auto"/>
              <w:jc w:val="right"/>
              <w:rPr>
                <w:b/>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E92B92" w:rsidRDefault="006858E2" w:rsidP="00E92B92">
            <w:pPr>
              <w:spacing w:after="0" w:line="240" w:lineRule="auto"/>
              <w:jc w:val="right"/>
              <w:rPr>
                <w:b/>
              </w:rPr>
            </w:pP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74680,0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1152,6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28,6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4967,9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103,4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4,6</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031816" w:rsidRDefault="00344C0D" w:rsidP="00344C0D">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120186,2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103,7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46,0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1708,6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39,1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1,6</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24376,5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63,7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154,2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41,4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0,1</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12473,7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88,9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5533,4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122,1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5,1</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970,0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31,3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14737,6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111,7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13,6</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CC4507" w:rsidRDefault="00344C0D" w:rsidP="00344C0D">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2433,1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64,2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30595,2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72,3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28,3</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828,4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84,7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9994,1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112,7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9,2</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65,6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332119,4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82,7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32,1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0,1</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8417,1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89,3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92,4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37,2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0,1</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890,5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68,8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3430,6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99,7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3,2</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585,2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31,4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8469,6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160,8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7,8</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5A3086" w:rsidRDefault="00344C0D" w:rsidP="00344C0D">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5A3086" w:rsidRDefault="00344C0D" w:rsidP="00344C0D">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27,6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861,2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177,0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0,2</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738,1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66,4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133,4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18,9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0,1</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bCs/>
              </w:rPr>
            </w:pPr>
            <w:r w:rsidRPr="00E92B92">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bCs/>
              </w:rPr>
            </w:pPr>
            <w:r w:rsidRPr="00E92B92">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bCs/>
              </w:rPr>
            </w:pPr>
            <w:r w:rsidRPr="00E92B92">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lang w:eastAsia="uk-UA"/>
              </w:rPr>
            </w:pPr>
            <w:r w:rsidRPr="00E92B92">
              <w:rPr>
                <w:rFonts w:cs="Times New Roman CYR"/>
              </w:rPr>
              <w:t>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74,1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rPr>
                <w:rFonts w:cs="Times New Roman CYR"/>
              </w:rPr>
            </w:pPr>
            <w:r w:rsidRPr="00E92B92">
              <w:rPr>
                <w:rFonts w:cs="Times New Roman CYR"/>
              </w:rPr>
              <w:t>0,0</w:t>
            </w:r>
          </w:p>
        </w:tc>
      </w:tr>
      <w:tr w:rsidR="00344C0D" w:rsidRPr="00BA2084" w:rsidTr="007B4A6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031816" w:rsidRDefault="00344C0D" w:rsidP="00344C0D">
            <w:pPr>
              <w:spacing w:after="0" w:line="280" w:lineRule="exact"/>
              <w:rPr>
                <w:rFonts w:eastAsia="Times New Roman"/>
                <w:bCs/>
                <w:lang w:eastAsia="ru-RU"/>
              </w:rPr>
            </w:pPr>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20" w:lineRule="exact"/>
              <w:jc w:val="center"/>
              <w:rPr>
                <w:bCs/>
              </w:rPr>
            </w:pPr>
            <w:r w:rsidRPr="007B360E">
              <w:rPr>
                <w:bCs/>
              </w:rPr>
              <w:t>XV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pPr>
            <w:r w:rsidRPr="00E92B92">
              <w:t>2045,3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pPr>
            <w:r w:rsidRPr="00E92B92">
              <w:t>229,3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pPr>
            <w:r w:rsidRPr="00E92B92">
              <w:t>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pPr>
            <w:r w:rsidRPr="00E92B92">
              <w:t>2519,5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pPr>
            <w:r w:rsidRPr="00E92B92">
              <w:t>79,0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E92B92" w:rsidRDefault="00344C0D" w:rsidP="00E92B92">
            <w:pPr>
              <w:spacing w:after="0" w:line="240" w:lineRule="auto"/>
              <w:jc w:val="right"/>
            </w:pPr>
            <w:r w:rsidRPr="00E92B92">
              <w:t>2,3</w:t>
            </w:r>
          </w:p>
        </w:tc>
      </w:tr>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7B4A66">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7B4A66">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–лютого</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w:t>
            </w:r>
            <w:bookmarkStart w:id="1" w:name="_GoBack"/>
            <w:bookmarkEnd w:id="1"/>
            <w:r w:rsidRPr="00320EFB">
              <w:rPr>
                <w:rFonts w:eastAsia="Times New Roman"/>
                <w:bCs/>
                <w:lang w:eastAsia="ru-RU"/>
              </w:rPr>
              <w:t>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–лютого</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344C0D" w:rsidRPr="00BA2084" w:rsidTr="007B4A6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single" w:sz="4" w:space="0" w:color="auto"/>
              <w:left w:val="nil"/>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7584,0</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135,9</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2,9</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16669,4</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78,5</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15,4</w:t>
            </w:r>
          </w:p>
        </w:tc>
      </w:tr>
      <w:tr w:rsidR="00344C0D" w:rsidRPr="00BA2084" w:rsidTr="007B4A6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334,7</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133,2</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0,1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7014,3</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107,4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6,5</w:t>
            </w:r>
          </w:p>
        </w:tc>
      </w:tr>
      <w:tr w:rsidR="00344C0D" w:rsidRPr="00BA2084" w:rsidTr="007B4A6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320" w:lineRule="exact"/>
              <w:rPr>
                <w:rFonts w:eastAsia="Times New Roman"/>
                <w:bCs/>
                <w:lang w:eastAsia="ru-RU"/>
              </w:rPr>
            </w:pPr>
            <w:r w:rsidRPr="007B360E">
              <w:rPr>
                <w:rFonts w:eastAsia="Times New Roman"/>
                <w:bCs/>
                <w:lang w:eastAsia="ru-RU"/>
              </w:rPr>
              <w:t xml:space="preserve">Прилади та апарати </w:t>
            </w:r>
            <w:proofErr w:type="spellStart"/>
            <w:r w:rsidRPr="007B360E">
              <w:rPr>
                <w:rFonts w:eastAsia="Times New Roman"/>
                <w:bCs/>
                <w:lang w:eastAsia="ru-RU"/>
              </w:rPr>
              <w:t>оптичнi</w:t>
            </w:r>
            <w:proofErr w:type="spellEnd"/>
            <w:r w:rsidRPr="007B360E">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1827,5</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394,2</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0,7</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809,9</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83,3</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344C0D" w:rsidRPr="00E92B92" w:rsidRDefault="00344C0D" w:rsidP="00E92B92">
            <w:pPr>
              <w:spacing w:after="0" w:line="240" w:lineRule="auto"/>
              <w:jc w:val="right"/>
            </w:pPr>
            <w:r w:rsidRPr="00E92B92">
              <w:t>0,7</w:t>
            </w:r>
          </w:p>
        </w:tc>
      </w:tr>
      <w:tr w:rsidR="00344C0D" w:rsidRPr="00BA2084" w:rsidTr="007B4A6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44C0D" w:rsidRPr="007B360E" w:rsidRDefault="00344C0D" w:rsidP="00344C0D">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000000"/>
            </w:tcBorders>
            <w:vAlign w:val="bottom"/>
          </w:tcPr>
          <w:p w:rsidR="00344C0D" w:rsidRPr="007B360E" w:rsidRDefault="00344C0D" w:rsidP="00344C0D">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000000"/>
              <w:left w:val="nil"/>
              <w:bottom w:val="dotted" w:sz="4" w:space="0" w:color="auto"/>
              <w:right w:val="dotted" w:sz="4" w:space="0" w:color="auto"/>
            </w:tcBorders>
            <w:shd w:val="clear" w:color="auto" w:fill="auto"/>
            <w:vAlign w:val="bottom"/>
          </w:tcPr>
          <w:p w:rsidR="00344C0D" w:rsidRPr="00E92B92" w:rsidRDefault="00344C0D" w:rsidP="00E92B92">
            <w:pPr>
              <w:spacing w:after="0" w:line="240" w:lineRule="auto"/>
              <w:jc w:val="right"/>
            </w:pPr>
            <w:r w:rsidRPr="00E92B92">
              <w:t>2842,4</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344C0D" w:rsidRPr="00E92B92" w:rsidRDefault="00344C0D" w:rsidP="00E92B92">
            <w:pPr>
              <w:spacing w:after="0" w:line="240" w:lineRule="auto"/>
              <w:jc w:val="right"/>
            </w:pPr>
            <w:r w:rsidRPr="00E92B92">
              <w:t>65,9</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344C0D" w:rsidRPr="00E92B92" w:rsidRDefault="00344C0D" w:rsidP="00E92B92">
            <w:pPr>
              <w:spacing w:after="0" w:line="240" w:lineRule="auto"/>
              <w:jc w:val="right"/>
            </w:pPr>
            <w:r w:rsidRPr="00E92B92">
              <w:t>1,1</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344C0D" w:rsidRPr="00E92B92" w:rsidRDefault="00344C0D" w:rsidP="00E92B92">
            <w:pPr>
              <w:spacing w:after="0" w:line="240" w:lineRule="auto"/>
              <w:jc w:val="right"/>
            </w:pPr>
            <w:r w:rsidRPr="00E92B92">
              <w:t>1188,0</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344C0D" w:rsidRPr="00E92B92" w:rsidRDefault="00344C0D" w:rsidP="00E92B92">
            <w:pPr>
              <w:spacing w:after="0" w:line="240" w:lineRule="auto"/>
              <w:jc w:val="right"/>
            </w:pPr>
            <w:r w:rsidRPr="00E92B92">
              <w:t>62,4</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344C0D" w:rsidRPr="00E92B92" w:rsidRDefault="00344C0D" w:rsidP="00E92B92">
            <w:pPr>
              <w:spacing w:after="0" w:line="240" w:lineRule="auto"/>
              <w:jc w:val="right"/>
            </w:pPr>
            <w:r w:rsidRPr="00E92B92">
              <w:t>1,1</w:t>
            </w:r>
          </w:p>
        </w:tc>
      </w:tr>
    </w:tbl>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7B4A66" w:rsidRPr="007B4A66">
      <w:rPr>
        <w:rFonts w:ascii="Calibri" w:hAnsi="Calibri"/>
        <w:noProof/>
        <w:sz w:val="20"/>
        <w:szCs w:val="20"/>
        <w:lang w:val="uk-UA"/>
      </w:rPr>
      <w:t>3</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39D"/>
    <w:rsid w:val="000267D8"/>
    <w:rsid w:val="00031816"/>
    <w:rsid w:val="000318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4C0D"/>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97B4E"/>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1CA"/>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48B9"/>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4A66"/>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326"/>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2B92"/>
    <w:rsid w:val="00E931CB"/>
    <w:rsid w:val="00E943B0"/>
    <w:rsid w:val="00E968B4"/>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EF5CB3"/>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5C9F"/>
    <w:rsid w:val="00F77DC7"/>
    <w:rsid w:val="00F802E3"/>
    <w:rsid w:val="00F823A9"/>
    <w:rsid w:val="00F832C8"/>
    <w:rsid w:val="00F87F0A"/>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6921005842011684E-2"/>
                  <c:y val="-5.964389586436830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13064092832E-2"/>
                  <c:y val="3.151497954647560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633646600589E-2"/>
                  <c:y val="-3.63997067934075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820931167387860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97561595123194E-2"/>
                  <c:y val="4.44969378827646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62932859199052E-2"/>
                  <c:y val="-4.365988035279368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56980780628229E-2"/>
                  <c:y val="4.117471802511161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158072982812633E-2"/>
                  <c:y val="-4.292024307772339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047551488496370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299</c:v>
                </c:pt>
                <c:pt idx="1">
                  <c:v>217.1</c:v>
                </c:pt>
                <c:pt idx="2">
                  <c:v>150.5</c:v>
                </c:pt>
                <c:pt idx="3">
                  <c:v>138.80000000000001</c:v>
                </c:pt>
                <c:pt idx="4">
                  <c:v>141.19999999999999</c:v>
                </c:pt>
                <c:pt idx="5">
                  <c:v>144.4</c:v>
                </c:pt>
                <c:pt idx="6">
                  <c:v>145.30000000000001</c:v>
                </c:pt>
                <c:pt idx="7">
                  <c:v>156.30000000000001</c:v>
                </c:pt>
                <c:pt idx="8">
                  <c:v>156</c:v>
                </c:pt>
                <c:pt idx="9">
                  <c:v>153.69999999999999</c:v>
                </c:pt>
                <c:pt idx="10">
                  <c:v>151.4</c:v>
                </c:pt>
                <c:pt idx="11">
                  <c:v>146.5</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1.5826940987215307E-2"/>
                  <c:y val="7.712752122200941E-3"/>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9339768012869358E-2"/>
                  <c:y val="-4.435979286372987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4292608585217171E-2"/>
                  <c:y val="-4.123146768816054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6850055033443481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0838032342731432E-2"/>
                  <c:y val="-4.535338488094398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587587841842347E-2"/>
                  <c:y val="-5.459317585301842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pt idx="1">
                  <c:v>125.8</c:v>
                </c:pt>
              </c:numCache>
            </c:numRef>
          </c:val>
          <c:smooth val="0"/>
        </c:ser>
        <c:ser>
          <c:idx val="0"/>
          <c:order val="2"/>
          <c:tx>
            <c:strRef>
              <c:f>Sheet1!$A$4</c:f>
              <c:strCache>
                <c:ptCount val="1"/>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numCache>
            </c:numRef>
          </c:val>
          <c:smooth val="0"/>
        </c:ser>
        <c:dLbls>
          <c:showLegendKey val="0"/>
          <c:showVal val="0"/>
          <c:showCatName val="0"/>
          <c:showSerName val="0"/>
          <c:showPercent val="0"/>
          <c:showBubbleSize val="0"/>
        </c:dLbls>
        <c:marker val="1"/>
        <c:smooth val="0"/>
        <c:axId val="261122048"/>
        <c:axId val="261122608"/>
      </c:lineChart>
      <c:catAx>
        <c:axId val="261122048"/>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61122608"/>
        <c:crossesAt val="0"/>
        <c:auto val="1"/>
        <c:lblAlgn val="ctr"/>
        <c:lblOffset val="0"/>
        <c:tickLblSkip val="1"/>
        <c:tickMarkSkip val="1"/>
        <c:noMultiLvlLbl val="0"/>
      </c:catAx>
      <c:valAx>
        <c:axId val="261122608"/>
        <c:scaling>
          <c:orientation val="minMax"/>
          <c:max val="300"/>
          <c:min val="10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61122048"/>
        <c:crosses val="autoZero"/>
        <c:crossBetween val="midCat"/>
        <c:majorUnit val="50"/>
        <c:minorUnit val="5"/>
      </c:valAx>
      <c:spPr>
        <a:solidFill>
          <a:srgbClr val="FFFFFF"/>
        </a:solidFill>
        <a:ln w="25389">
          <a:noFill/>
        </a:ln>
      </c:spPr>
    </c:plotArea>
    <c:legend>
      <c:legendPos val="r"/>
      <c:legendEntry>
        <c:idx val="2"/>
        <c:delete val="1"/>
      </c:legendEntry>
      <c:layout>
        <c:manualLayout>
          <c:xMode val="edge"/>
          <c:yMode val="edge"/>
          <c:x val="0.21735602404538143"/>
          <c:y val="0.90454563462586035"/>
          <c:w val="0.36223723647447303"/>
          <c:h val="9.5454351989785066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4140113326955627E-2"/>
                  <c:y val="-4.266723416329715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11927130604003E-2"/>
                  <c:y val="-4.061573384408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029067628228715E-2"/>
                  <c:y val="2.880754770518539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7535997252679864E-2"/>
                  <c:y val="-3.992386086874275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154.6</c:v>
                </c:pt>
                <c:pt idx="1">
                  <c:v>99.9</c:v>
                </c:pt>
                <c:pt idx="2">
                  <c:v>81.2</c:v>
                </c:pt>
                <c:pt idx="3">
                  <c:v>68.400000000000006</c:v>
                </c:pt>
                <c:pt idx="4">
                  <c:v>67.599999999999994</c:v>
                </c:pt>
                <c:pt idx="5">
                  <c:v>72.5</c:v>
                </c:pt>
                <c:pt idx="6">
                  <c:v>74.099999999999994</c:v>
                </c:pt>
                <c:pt idx="7">
                  <c:v>71.2</c:v>
                </c:pt>
                <c:pt idx="8">
                  <c:v>70.8</c:v>
                </c:pt>
                <c:pt idx="9">
                  <c:v>55.7</c:v>
                </c:pt>
                <c:pt idx="10">
                  <c:v>56</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2.7038536070841612E-2"/>
                  <c:y val="-4.14532642879100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9.8542448549071557E-2"/>
                  <c:y val="2.001371450190347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9368198134111811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0712177332973565E-2"/>
                  <c:y val="-4.335579674162362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pt idx="1">
                  <c:v>86.1</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261125968"/>
        <c:axId val="261126528"/>
      </c:lineChart>
      <c:catAx>
        <c:axId val="261125968"/>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61126528"/>
        <c:crosses val="autoZero"/>
        <c:auto val="1"/>
        <c:lblAlgn val="ctr"/>
        <c:lblOffset val="0"/>
        <c:tickLblSkip val="1"/>
        <c:tickMarkSkip val="1"/>
        <c:noMultiLvlLbl val="0"/>
      </c:catAx>
      <c:valAx>
        <c:axId val="261126528"/>
        <c:scaling>
          <c:orientation val="minMax"/>
          <c:max val="160"/>
          <c:min val="55"/>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61125968"/>
        <c:crosses val="autoZero"/>
        <c:crossBetween val="midCat"/>
        <c:majorUnit val="15"/>
      </c:valAx>
      <c:spPr>
        <a:solidFill>
          <a:srgbClr val="FFFFFF"/>
        </a:solidFill>
        <a:ln w="25409">
          <a:noFill/>
        </a:ln>
      </c:spPr>
    </c:plotArea>
    <c:legend>
      <c:legendPos val="b"/>
      <c:legendEntry>
        <c:idx val="2"/>
        <c:delete val="1"/>
      </c:legendEntry>
      <c:layout>
        <c:manualLayout>
          <c:xMode val="edge"/>
          <c:yMode val="edge"/>
          <c:x val="0.28971955675958511"/>
          <c:y val="0.91363690387758134"/>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6000F-CA09-473F-AAE1-7C73DC41C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4</Pages>
  <Words>4072</Words>
  <Characters>2322</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6382</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11</cp:revision>
  <cp:lastPrinted>2022-01-06T09:57:00Z</cp:lastPrinted>
  <dcterms:created xsi:type="dcterms:W3CDTF">2023-03-06T12:31:00Z</dcterms:created>
  <dcterms:modified xsi:type="dcterms:W3CDTF">2023-04-17T13:41:00Z</dcterms:modified>
</cp:coreProperties>
</file>