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w:t>
      </w:r>
      <w:r w:rsidR="009F7E21">
        <w:rPr>
          <w:rFonts w:eastAsia="Times New Roman"/>
          <w:sz w:val="26"/>
          <w:szCs w:val="26"/>
          <w:lang w:val="en-US" w:eastAsia="ru-RU"/>
        </w:rPr>
        <w:t>6</w:t>
      </w:r>
      <w:r w:rsidR="00EC1A9A" w:rsidRPr="003F5A9D">
        <w:rPr>
          <w:rFonts w:eastAsia="Times New Roman"/>
          <w:sz w:val="26"/>
          <w:szCs w:val="26"/>
          <w:lang w:eastAsia="ru-RU"/>
        </w:rPr>
        <w:t>.</w:t>
      </w:r>
      <w:r w:rsidR="004A6055" w:rsidRPr="000A44E3">
        <w:rPr>
          <w:rFonts w:eastAsia="Times New Roman"/>
          <w:sz w:val="26"/>
          <w:szCs w:val="26"/>
          <w:lang w:val="ru-RU" w:eastAsia="ru-RU"/>
        </w:rPr>
        <w:t>0</w:t>
      </w:r>
      <w:r w:rsidR="009F7E21">
        <w:rPr>
          <w:rFonts w:eastAsia="Times New Roman"/>
          <w:sz w:val="26"/>
          <w:szCs w:val="26"/>
          <w:lang w:val="en-US" w:eastAsia="ru-RU"/>
        </w:rPr>
        <w:t>8</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9F7E21">
        <w:rPr>
          <w:rFonts w:eastAsia="Times New Roman"/>
          <w:b/>
          <w:sz w:val="26"/>
          <w:szCs w:val="26"/>
          <w:lang w:eastAsia="ru-RU"/>
        </w:rPr>
        <w:t>червні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9F7E21">
        <w:rPr>
          <w:rFonts w:eastAsia="Times New Roman"/>
          <w:sz w:val="26"/>
          <w:szCs w:val="26"/>
          <w:lang w:eastAsia="ru-RU"/>
        </w:rPr>
        <w:t>червні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4D6B10">
        <w:rPr>
          <w:sz w:val="26"/>
          <w:szCs w:val="26"/>
        </w:rPr>
        <w:t>514642,1</w:t>
      </w:r>
      <w:r w:rsidRPr="00900B22">
        <w:rPr>
          <w:sz w:val="26"/>
          <w:szCs w:val="26"/>
        </w:rPr>
        <w:t xml:space="preserve"> тис.дол. США, або </w:t>
      </w:r>
      <w:r w:rsidR="00126E58">
        <w:rPr>
          <w:sz w:val="26"/>
          <w:szCs w:val="26"/>
        </w:rPr>
        <w:t>1</w:t>
      </w:r>
      <w:r w:rsidR="00A50266">
        <w:rPr>
          <w:sz w:val="26"/>
          <w:szCs w:val="26"/>
        </w:rPr>
        <w:t>44</w:t>
      </w:r>
      <w:r w:rsidR="00953197">
        <w:rPr>
          <w:sz w:val="26"/>
          <w:szCs w:val="26"/>
        </w:rPr>
        <w:t>,</w:t>
      </w:r>
      <w:r w:rsidR="00A50266">
        <w:rPr>
          <w:sz w:val="26"/>
          <w:szCs w:val="26"/>
        </w:rPr>
        <w:t>4</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9F7E21">
        <w:rPr>
          <w:sz w:val="26"/>
          <w:szCs w:val="26"/>
        </w:rPr>
        <w:t>червнем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A50266">
        <w:rPr>
          <w:sz w:val="26"/>
          <w:szCs w:val="26"/>
        </w:rPr>
        <w:t>341911,2</w:t>
      </w:r>
      <w:r w:rsidRPr="00900B22">
        <w:rPr>
          <w:sz w:val="26"/>
          <w:szCs w:val="26"/>
        </w:rPr>
        <w:t xml:space="preserve"> тис.дол., або </w:t>
      </w:r>
      <w:r w:rsidR="00A50266">
        <w:rPr>
          <w:sz w:val="26"/>
          <w:szCs w:val="26"/>
        </w:rPr>
        <w:t>72,5</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A50266">
        <w:rPr>
          <w:sz w:val="26"/>
          <w:szCs w:val="26"/>
        </w:rPr>
        <w:t>172730,9</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9F7E21">
        <w:rPr>
          <w:sz w:val="26"/>
          <w:szCs w:val="26"/>
        </w:rPr>
        <w:t>червні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A50266">
        <w:rPr>
          <w:sz w:val="26"/>
          <w:szCs w:val="26"/>
          <w:lang w:val="ru-RU"/>
        </w:rPr>
        <w:t>115493,8</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склав </w:t>
      </w:r>
      <w:r w:rsidR="00165CA8" w:rsidRPr="00900B22">
        <w:rPr>
          <w:sz w:val="26"/>
          <w:szCs w:val="26"/>
        </w:rPr>
        <w:t>1,</w:t>
      </w:r>
      <w:r w:rsidR="00A50266">
        <w:rPr>
          <w:sz w:val="26"/>
          <w:szCs w:val="26"/>
        </w:rPr>
        <w:t>51</w:t>
      </w:r>
      <w:r w:rsidRPr="00900B22">
        <w:rPr>
          <w:sz w:val="26"/>
          <w:szCs w:val="26"/>
        </w:rPr>
        <w:t xml:space="preserve"> (</w:t>
      </w:r>
      <w:r w:rsidR="003A4524" w:rsidRPr="00900B22">
        <w:rPr>
          <w:sz w:val="26"/>
          <w:szCs w:val="26"/>
        </w:rPr>
        <w:t>у січні</w:t>
      </w:r>
      <w:r w:rsidR="00900B22" w:rsidRPr="00900B22">
        <w:rPr>
          <w:sz w:val="26"/>
          <w:szCs w:val="26"/>
          <w:lang w:val="ru-RU"/>
        </w:rPr>
        <w:t>–</w:t>
      </w:r>
      <w:r w:rsidR="009F7E21">
        <w:rPr>
          <w:sz w:val="26"/>
          <w:szCs w:val="26"/>
        </w:rPr>
        <w:t>червні</w:t>
      </w:r>
      <w:r w:rsidR="003A4524" w:rsidRPr="00900B22">
        <w:rPr>
          <w:sz w:val="26"/>
          <w:szCs w:val="26"/>
        </w:rPr>
        <w:t xml:space="preserve"> 2021р.</w:t>
      </w:r>
      <w:r w:rsidRPr="00900B22">
        <w:rPr>
          <w:sz w:val="26"/>
          <w:szCs w:val="26"/>
        </w:rPr>
        <w:t xml:space="preserve">– </w:t>
      </w:r>
      <w:r w:rsidR="000A44E3" w:rsidRPr="00820EAE">
        <w:rPr>
          <w:sz w:val="26"/>
          <w:szCs w:val="26"/>
        </w:rPr>
        <w:t>0,</w:t>
      </w:r>
      <w:r w:rsidR="00A50266">
        <w:rPr>
          <w:sz w:val="26"/>
          <w:szCs w:val="26"/>
        </w:rPr>
        <w:t>76</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D97D57" w:rsidRPr="00672B57">
        <w:rPr>
          <w:sz w:val="26"/>
          <w:szCs w:val="26"/>
        </w:rPr>
        <w:t>зі</w:t>
      </w:r>
      <w:r w:rsidRPr="00672B57">
        <w:rPr>
          <w:sz w:val="26"/>
          <w:szCs w:val="26"/>
        </w:rPr>
        <w:t xml:space="preserve"> </w:t>
      </w:r>
      <w:r w:rsidR="00A50266">
        <w:rPr>
          <w:sz w:val="26"/>
          <w:szCs w:val="26"/>
          <w:lang w:val="ru-RU"/>
        </w:rPr>
        <w:t>121</w:t>
      </w:r>
      <w:r w:rsidR="000D56A9">
        <w:rPr>
          <w:sz w:val="26"/>
          <w:szCs w:val="26"/>
          <w:lang w:val="ru-RU"/>
        </w:rPr>
        <w:t xml:space="preserve"> </w:t>
      </w:r>
      <w:r w:rsidRPr="00672B57">
        <w:rPr>
          <w:sz w:val="26"/>
          <w:szCs w:val="26"/>
        </w:rPr>
        <w:t>країн</w:t>
      </w:r>
      <w:r w:rsidR="00A50266">
        <w:rPr>
          <w:sz w:val="26"/>
          <w:szCs w:val="26"/>
        </w:rPr>
        <w:t>и</w:t>
      </w:r>
      <w:r w:rsidRPr="00672B57">
        <w:rPr>
          <w:sz w:val="26"/>
          <w:szCs w:val="26"/>
        </w:rPr>
        <w:t xml:space="preserve">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034DAE"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9F7E21">
        <w:rPr>
          <w:rFonts w:ascii="Calibri" w:hAnsi="Calibri"/>
          <w:color w:val="000000"/>
          <w:sz w:val="24"/>
          <w:szCs w:val="24"/>
          <w:lang w:val="uk-UA"/>
        </w:rPr>
        <w:t>червні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9F7E21">
              <w:rPr>
                <w:rFonts w:ascii="Calibri" w:hAnsi="Calibri" w:cs="Calibri"/>
                <w:snapToGrid w:val="0"/>
                <w:color w:val="auto"/>
                <w:sz w:val="22"/>
                <w:szCs w:val="22"/>
              </w:rPr>
              <w:t>червня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9F7E21">
              <w:rPr>
                <w:rFonts w:ascii="Calibri" w:hAnsi="Calibri" w:cs="Calibri"/>
                <w:snapToGrid w:val="0"/>
                <w:color w:val="auto"/>
                <w:sz w:val="22"/>
                <w:szCs w:val="22"/>
              </w:rPr>
              <w:t>червня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7C2C08" w:rsidRPr="00E937C5" w:rsidTr="007C2C08">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7C2C08" w:rsidRPr="00E937C5" w:rsidRDefault="007C2C08" w:rsidP="007C2C08">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7C2C08" w:rsidRPr="007C2C08" w:rsidRDefault="007C2C08" w:rsidP="007C2C08">
            <w:pPr>
              <w:spacing w:after="0" w:line="240" w:lineRule="auto"/>
              <w:jc w:val="right"/>
              <w:rPr>
                <w:rFonts w:cs="Times New Roman CYR"/>
                <w:b/>
                <w:lang w:eastAsia="uk-UA"/>
              </w:rPr>
            </w:pPr>
            <w:r w:rsidRPr="007C2C08">
              <w:rPr>
                <w:rFonts w:cs="Times New Roman CYR"/>
                <w:b/>
              </w:rPr>
              <w:t>514642,1</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7C2C08" w:rsidRPr="007C2C08" w:rsidRDefault="007C2C08" w:rsidP="007C2C08">
            <w:pPr>
              <w:spacing w:after="0" w:line="240" w:lineRule="auto"/>
              <w:jc w:val="right"/>
              <w:rPr>
                <w:rFonts w:cs="Times New Roman CYR"/>
                <w:b/>
              </w:rPr>
            </w:pPr>
            <w:r w:rsidRPr="007C2C08">
              <w:rPr>
                <w:rFonts w:cs="Times New Roman CYR"/>
                <w:b/>
              </w:rPr>
              <w:t>144,4</w:t>
            </w:r>
          </w:p>
        </w:tc>
        <w:tc>
          <w:tcPr>
            <w:tcW w:w="1134" w:type="dxa"/>
            <w:tcBorders>
              <w:top w:val="single" w:sz="4" w:space="0" w:color="000000"/>
              <w:left w:val="dotted" w:sz="4" w:space="0" w:color="000000"/>
              <w:bottom w:val="dotted" w:sz="4" w:space="0" w:color="000000"/>
              <w:right w:val="dotted" w:sz="4" w:space="0" w:color="000000"/>
            </w:tcBorders>
            <w:vAlign w:val="bottom"/>
          </w:tcPr>
          <w:p w:rsidR="007C2C08" w:rsidRPr="007C2C08" w:rsidRDefault="007C2C08" w:rsidP="007C2C08">
            <w:pPr>
              <w:spacing w:after="0" w:line="240" w:lineRule="auto"/>
              <w:jc w:val="right"/>
              <w:rPr>
                <w:rFonts w:cs="Times New Roman CYR"/>
                <w:b/>
              </w:rPr>
            </w:pPr>
            <w:r w:rsidRPr="007C2C08">
              <w:rPr>
                <w:rFonts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7C2C08" w:rsidRPr="007C2C08" w:rsidRDefault="007C2C08" w:rsidP="007C2C08">
            <w:pPr>
              <w:spacing w:after="0" w:line="240" w:lineRule="auto"/>
              <w:jc w:val="right"/>
              <w:rPr>
                <w:rFonts w:cs="Times New Roman CYR"/>
                <w:b/>
              </w:rPr>
            </w:pPr>
            <w:r w:rsidRPr="007C2C08">
              <w:rPr>
                <w:rFonts w:cs="Times New Roman CYR"/>
                <w:b/>
              </w:rPr>
              <w:t>341911,2</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7C2C08" w:rsidRPr="007C2C08" w:rsidRDefault="007C2C08" w:rsidP="007C2C08">
            <w:pPr>
              <w:spacing w:after="0" w:line="240" w:lineRule="auto"/>
              <w:jc w:val="right"/>
              <w:rPr>
                <w:rFonts w:cs="Times New Roman CYR"/>
                <w:b/>
              </w:rPr>
            </w:pPr>
            <w:r w:rsidRPr="007C2C08">
              <w:rPr>
                <w:rFonts w:cs="Times New Roman CYR"/>
                <w:b/>
              </w:rPr>
              <w:t>72,5</w:t>
            </w:r>
          </w:p>
        </w:tc>
        <w:tc>
          <w:tcPr>
            <w:tcW w:w="1134" w:type="dxa"/>
            <w:tcBorders>
              <w:top w:val="single" w:sz="4" w:space="0" w:color="000000"/>
              <w:left w:val="dotted" w:sz="4" w:space="0" w:color="000000"/>
              <w:bottom w:val="dotted" w:sz="4" w:space="0" w:color="000000"/>
              <w:right w:val="dotted" w:sz="4" w:space="0" w:color="000000"/>
            </w:tcBorders>
            <w:vAlign w:val="bottom"/>
          </w:tcPr>
          <w:p w:rsidR="007C2C08" w:rsidRPr="007C2C08" w:rsidRDefault="007C2C08" w:rsidP="007C2C08">
            <w:pPr>
              <w:spacing w:after="0" w:line="240" w:lineRule="auto"/>
              <w:jc w:val="right"/>
              <w:rPr>
                <w:rFonts w:cs="Times New Roman CYR"/>
                <w:b/>
              </w:rPr>
            </w:pPr>
            <w:r w:rsidRPr="007C2C08">
              <w:rPr>
                <w:rFonts w:cs="Times New Roman CYR"/>
                <w:b/>
              </w:rPr>
              <w:t>100,0</w:t>
            </w:r>
          </w:p>
        </w:tc>
      </w:tr>
      <w:tr w:rsidR="00E9172A" w:rsidRPr="00E937C5" w:rsidTr="00FA2826">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077D53">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r>
      <w:tr w:rsidR="007C2C08"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7C2C08" w:rsidRPr="00E937C5" w:rsidRDefault="007C2C08" w:rsidP="007C2C08">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lang w:eastAsia="uk-UA"/>
              </w:rPr>
            </w:pPr>
            <w:r w:rsidRPr="00034DAE">
              <w:rPr>
                <w:rFonts w:cs="Times New Roman CYR"/>
              </w:rPr>
              <w:t>12371,4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94,5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2,4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16173,5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118,7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4,7</w:t>
            </w:r>
          </w:p>
        </w:tc>
      </w:tr>
      <w:tr w:rsidR="007C2C08"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7C2C08" w:rsidRPr="00E937C5" w:rsidRDefault="007C2C08" w:rsidP="007C2C08">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lang w:eastAsia="uk-UA"/>
              </w:rPr>
            </w:pPr>
            <w:r w:rsidRPr="00034DAE">
              <w:rPr>
                <w:rFonts w:cs="Times New Roman CYR"/>
              </w:rPr>
              <w:t>258749,4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155,9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50,3</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10794,0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66,9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3,2</w:t>
            </w:r>
          </w:p>
        </w:tc>
      </w:tr>
      <w:tr w:rsidR="007C2C08"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7C2C08" w:rsidRPr="00E937C5" w:rsidRDefault="007C2C08" w:rsidP="007C2C08">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lang w:eastAsia="uk-UA"/>
              </w:rPr>
            </w:pPr>
            <w:r w:rsidRPr="00034DAE">
              <w:rPr>
                <w:rFonts w:cs="Times New Roman CYR"/>
              </w:rPr>
              <w:t>124855,9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720,4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24,3</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449,0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64,4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0,1</w:t>
            </w:r>
          </w:p>
        </w:tc>
      </w:tr>
      <w:tr w:rsidR="007C2C08"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7C2C08" w:rsidRPr="00E937C5" w:rsidRDefault="007C2C08" w:rsidP="007C2C08">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lang w:eastAsia="uk-UA"/>
              </w:rPr>
            </w:pPr>
            <w:r w:rsidRPr="00034DAE">
              <w:rPr>
                <w:rFonts w:cs="Times New Roman CYR"/>
              </w:rPr>
              <w:t>27960,0</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51,1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5,4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11096,8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93,5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3,2</w:t>
            </w:r>
          </w:p>
        </w:tc>
      </w:tr>
      <w:tr w:rsidR="007C2C08"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7C2C08" w:rsidRPr="00E937C5" w:rsidRDefault="007C2C08" w:rsidP="007C2C08">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lang w:eastAsia="uk-UA"/>
              </w:rPr>
            </w:pPr>
            <w:r w:rsidRPr="00034DAE">
              <w:rPr>
                <w:rFonts w:cs="Times New Roman CYR"/>
              </w:rPr>
              <w:t>4737,1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59,2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0,9</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109464,0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51,9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32,0</w:t>
            </w:r>
          </w:p>
        </w:tc>
      </w:tr>
      <w:tr w:rsidR="007C2C08"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7C2C08" w:rsidRPr="00E937C5" w:rsidRDefault="007C2C08" w:rsidP="007C2C08">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lang w:eastAsia="uk-UA"/>
              </w:rPr>
            </w:pPr>
            <w:r w:rsidRPr="00034DAE">
              <w:rPr>
                <w:rFonts w:cs="Times New Roman CYR"/>
              </w:rPr>
              <w:t>12187,6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76,3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2,4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88596,8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137,5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25,9</w:t>
            </w:r>
          </w:p>
        </w:tc>
      </w:tr>
      <w:tr w:rsidR="007C2C08"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E937C5" w:rsidRDefault="007C2C08" w:rsidP="007C2C08">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7C2C08" w:rsidRPr="00E937C5" w:rsidRDefault="007C2C08" w:rsidP="007C2C08">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lang w:eastAsia="uk-UA"/>
              </w:rPr>
            </w:pPr>
            <w:r w:rsidRPr="00034DAE">
              <w:rPr>
                <w:rFonts w:cs="Times New Roman CYR"/>
              </w:rPr>
              <w:t>3191,9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115,7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16413,5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70,4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7C2C08" w:rsidRPr="00034DAE" w:rsidRDefault="007C2C08" w:rsidP="00034DAE">
            <w:pPr>
              <w:spacing w:after="0" w:line="240" w:lineRule="auto"/>
              <w:jc w:val="right"/>
              <w:rPr>
                <w:rFonts w:cs="Times New Roman CYR"/>
              </w:rPr>
            </w:pPr>
            <w:r w:rsidRPr="00034DAE">
              <w:rPr>
                <w:rFonts w:cs="Times New Roman CYR"/>
              </w:rPr>
              <w:t>4,8</w:t>
            </w:r>
          </w:p>
        </w:tc>
      </w:tr>
      <w:tr w:rsidR="004C2F84"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E937C5" w:rsidRDefault="004C2F84" w:rsidP="004C2F84">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4C2F84" w:rsidRPr="00E937C5" w:rsidRDefault="004C2F84" w:rsidP="004C2F84">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034DAE" w:rsidP="00034DAE">
            <w:pPr>
              <w:spacing w:after="0" w:line="240" w:lineRule="auto"/>
              <w:jc w:val="right"/>
              <w:rPr>
                <w:rFonts w:cs="Times New Roman CYR"/>
                <w:lang w:eastAsia="uk-UA"/>
              </w:rPr>
            </w:pPr>
            <w:r>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034DAE" w:rsidP="00034DAE">
            <w:pPr>
              <w:spacing w:after="0" w:line="240" w:lineRule="auto"/>
              <w:jc w:val="right"/>
              <w:rPr>
                <w:rFonts w:cs="Times New Roman CYR"/>
              </w:rPr>
            </w:pPr>
            <w:r>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034DAE" w:rsidP="00034DAE">
            <w:pPr>
              <w:spacing w:after="0" w:line="240" w:lineRule="auto"/>
              <w:jc w:val="right"/>
              <w:rPr>
                <w:rFonts w:cs="Times New Roman CYR"/>
              </w:rPr>
            </w:pPr>
            <w:r>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136,1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55,4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0,0</w:t>
            </w:r>
          </w:p>
        </w:tc>
      </w:tr>
      <w:tr w:rsidR="004C2F84"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E937C5" w:rsidRDefault="004C2F84" w:rsidP="004C2F84">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4C2F84" w:rsidRPr="00E937C5" w:rsidRDefault="004C2F84" w:rsidP="004C2F84">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lang w:eastAsia="uk-UA"/>
              </w:rPr>
            </w:pPr>
            <w:r w:rsidRPr="00034DAE">
              <w:rPr>
                <w:rFonts w:cs="Times New Roman CYR"/>
              </w:rPr>
              <w:t>32200,8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104,8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6,3</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262,1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34,9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0,1</w:t>
            </w:r>
          </w:p>
        </w:tc>
      </w:tr>
      <w:tr w:rsidR="004C2F84"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E937C5" w:rsidRDefault="004C2F84" w:rsidP="004C2F84">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4C2F84" w:rsidRPr="00E937C5" w:rsidRDefault="004C2F84" w:rsidP="004C2F84">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lang w:eastAsia="uk-UA"/>
              </w:rPr>
            </w:pPr>
            <w:r w:rsidRPr="00034DAE">
              <w:rPr>
                <w:rFonts w:cs="Times New Roman CYR"/>
              </w:rPr>
              <w:t>2846,4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198,3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4809,5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78,4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1,4</w:t>
            </w:r>
          </w:p>
        </w:tc>
      </w:tr>
      <w:tr w:rsidR="004C2F84"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E937C5" w:rsidRDefault="004C2F84" w:rsidP="004C2F84">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4C2F84" w:rsidRPr="00E937C5" w:rsidRDefault="004C2F84" w:rsidP="004C2F84">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lang w:eastAsia="uk-UA"/>
              </w:rPr>
            </w:pPr>
            <w:r w:rsidRPr="00034DAE">
              <w:rPr>
                <w:rFonts w:cs="Times New Roman CYR"/>
              </w:rPr>
              <w:t>5516,3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87,9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1,1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11124,5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72,8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3,3</w:t>
            </w:r>
          </w:p>
        </w:tc>
      </w:tr>
      <w:tr w:rsidR="004C2F84"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E937C5" w:rsidRDefault="004C2F84" w:rsidP="004C2F84">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4C2F84" w:rsidRPr="00E937C5" w:rsidRDefault="004C2F84" w:rsidP="004C2F84">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lang w:eastAsia="uk-UA"/>
              </w:rPr>
            </w:pPr>
            <w:r w:rsidRPr="00034DAE">
              <w:rPr>
                <w:rFonts w:cs="Times New Roman CYR"/>
              </w:rPr>
              <w:t>0,0</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82,1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27,5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0,0</w:t>
            </w:r>
          </w:p>
        </w:tc>
      </w:tr>
      <w:tr w:rsidR="004C2F84"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E937C5" w:rsidRDefault="004C2F84" w:rsidP="004C2F84">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4C2F84" w:rsidRPr="00E937C5" w:rsidRDefault="004C2F84" w:rsidP="004C2F84">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lang w:eastAsia="uk-UA"/>
              </w:rPr>
            </w:pPr>
            <w:r w:rsidRPr="00034DAE">
              <w:rPr>
                <w:rFonts w:cs="Times New Roman CYR"/>
              </w:rPr>
              <w:t>3085,3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72,3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816,7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32,8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0,2</w:t>
            </w:r>
          </w:p>
        </w:tc>
      </w:tr>
      <w:tr w:rsidR="004C2F84"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E937C5" w:rsidRDefault="004C2F84" w:rsidP="004C2F84">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4C2F84" w:rsidRPr="00E937C5" w:rsidRDefault="004C2F84" w:rsidP="004C2F84">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lang w:eastAsia="uk-UA"/>
              </w:rPr>
            </w:pPr>
            <w:r w:rsidRPr="00034DAE">
              <w:rPr>
                <w:rFonts w:cs="Times New Roman CYR"/>
              </w:rPr>
              <w:t>1175,6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14,9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4C2F84" w:rsidRPr="00034DAE" w:rsidRDefault="004C2F84" w:rsidP="00034DAE">
            <w:pPr>
              <w:spacing w:after="0" w:line="240" w:lineRule="auto"/>
              <w:jc w:val="right"/>
              <w:rPr>
                <w:rFonts w:cs="Times New Roman CYR"/>
              </w:rPr>
            </w:pPr>
            <w:r w:rsidRPr="00034DAE">
              <w:rPr>
                <w:rFonts w:cs="Times New Roman CYR"/>
              </w:rPr>
              <w:t>0,3</w:t>
            </w:r>
          </w:p>
        </w:tc>
      </w:tr>
      <w:tr w:rsidR="00034DAE" w:rsidRPr="00E937C5" w:rsidTr="00034DAE">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E937C5" w:rsidRDefault="00034DAE" w:rsidP="00034DAE">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lang w:eastAsia="uk-UA"/>
              </w:rPr>
            </w:pPr>
            <w:r w:rsidRPr="00034DAE">
              <w:rPr>
                <w:rFonts w:cs="Times New Roman CYR"/>
              </w:rPr>
              <w:t>2987,8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139,4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5788,6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58,5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1,7</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9F7E21">
              <w:rPr>
                <w:rFonts w:ascii="Calibri" w:hAnsi="Calibri" w:cs="Calibri"/>
                <w:snapToGrid w:val="0"/>
                <w:color w:val="auto"/>
                <w:sz w:val="22"/>
                <w:szCs w:val="22"/>
              </w:rPr>
              <w:t>червня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9F7E21">
              <w:rPr>
                <w:rFonts w:ascii="Calibri" w:hAnsi="Calibri" w:cs="Calibri"/>
                <w:snapToGrid w:val="0"/>
                <w:color w:val="auto"/>
                <w:sz w:val="22"/>
                <w:szCs w:val="22"/>
              </w:rPr>
              <w:t>червня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034DAE" w:rsidRPr="00E937C5" w:rsidTr="00034DAE">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E937C5" w:rsidRDefault="00034DAE" w:rsidP="00034DAE">
            <w:pPr>
              <w:spacing w:after="0" w:line="320" w:lineRule="exact"/>
              <w:rPr>
                <w:rFonts w:eastAsia="Times New Roman"/>
                <w:bCs/>
                <w:lang w:eastAsia="ru-RU"/>
              </w:rPr>
            </w:pPr>
            <w:bookmarkStart w:id="1" w:name="_GoBack" w:colFirst="0" w:colLast="7"/>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lang w:eastAsia="uk-UA"/>
              </w:rPr>
            </w:pPr>
            <w:r w:rsidRPr="00034DAE">
              <w:rPr>
                <w:rFonts w:cs="Times New Roman CYR"/>
              </w:rPr>
              <w:t>10612,6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128,3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39594,3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68,9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11,6</w:t>
            </w:r>
          </w:p>
        </w:tc>
      </w:tr>
      <w:tr w:rsidR="00034DAE" w:rsidRPr="00E937C5" w:rsidTr="00034DAE">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E937C5" w:rsidRDefault="00034DAE" w:rsidP="00034DAE">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lang w:eastAsia="uk-UA"/>
              </w:rPr>
            </w:pPr>
            <w:r w:rsidRPr="00034DAE">
              <w:rPr>
                <w:rFonts w:cs="Times New Roman CYR"/>
              </w:rPr>
              <w:t>640,2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92,0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19040,4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79,3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5,6</w:t>
            </w:r>
          </w:p>
        </w:tc>
      </w:tr>
      <w:tr w:rsidR="00034DAE" w:rsidRPr="00E937C5" w:rsidTr="00034DAE">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E937C5" w:rsidRDefault="00034DAE" w:rsidP="00034DAE">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lang w:eastAsia="uk-UA"/>
              </w:rPr>
            </w:pPr>
            <w:r w:rsidRPr="00034DAE">
              <w:rPr>
                <w:rFonts w:cs="Times New Roman CYR"/>
              </w:rPr>
              <w:t>621,6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63,1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1859,1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61,6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0,5</w:t>
            </w:r>
          </w:p>
        </w:tc>
      </w:tr>
      <w:tr w:rsidR="00034DAE" w:rsidRPr="00E937C5" w:rsidTr="00034DAE">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E937C5" w:rsidRDefault="00034DAE" w:rsidP="00034DAE">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lang w:eastAsia="uk-UA"/>
              </w:rPr>
            </w:pPr>
            <w:r w:rsidRPr="00034DAE">
              <w:rPr>
                <w:rFonts w:cs="Times New Roman CYR"/>
              </w:rPr>
              <w:t>12078,0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70,6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3904,5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129,3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1,1</w:t>
            </w:r>
          </w:p>
        </w:tc>
      </w:tr>
      <w:tr w:rsidR="00034DAE" w:rsidRPr="00E937C5" w:rsidTr="00034DAE">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2A4986" w:rsidRDefault="00034DAE" w:rsidP="00034DAE">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lang w:eastAsia="uk-UA"/>
              </w:rPr>
            </w:pPr>
            <w:r w:rsidRPr="00034DAE">
              <w:rPr>
                <w:rFonts w:cs="Times New Roman CYR"/>
              </w:rPr>
              <w:t>330,2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119,1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034DAE">
            <w:pPr>
              <w:spacing w:after="0" w:line="240" w:lineRule="auto"/>
              <w:jc w:val="right"/>
              <w:rPr>
                <w:rFonts w:cs="Times New Roman CYR"/>
              </w:rPr>
            </w:pPr>
            <w:r w:rsidRPr="00034DAE">
              <w:rPr>
                <w:rFonts w:cs="Times New Roman CYR"/>
              </w:rPr>
              <w:t>0,1</w:t>
            </w:r>
          </w:p>
        </w:tc>
      </w:tr>
    </w:tbl>
    <w:bookmarkEnd w:id="1"/>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034DAE" w:rsidRPr="00034DAE">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DAE"/>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3178"/>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2F84"/>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6B10"/>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2C08"/>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9F7E21"/>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0266"/>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61A"/>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90452439428E-2"/>
                  <c:y val="-5.36378943198137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23953718006E-2"/>
                  <c:y val="-5.857524884861090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327067987469307E-2"/>
                  <c:y val="-5.961457520512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6192345115739229E-3"/>
                  <c:y val="-2.634177484571190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89382778765559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3209550419100837E-2"/>
                  <c:y val="-4.32536473481355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645753958174663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3633731267462538E-2"/>
                  <c:y val="-5.135939088694999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90714914554254E-2"/>
                  <c:y val="-5.45931758530183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1132651426801465E-2"/>
                  <c:y val="-6.280904887665492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pt idx="5">
                  <c:v>144.4</c:v>
                </c:pt>
              </c:numCache>
            </c:numRef>
          </c:val>
          <c:smooth val="0"/>
        </c:ser>
        <c:dLbls>
          <c:showLegendKey val="0"/>
          <c:showVal val="0"/>
          <c:showCatName val="0"/>
          <c:showSerName val="0"/>
          <c:showPercent val="0"/>
          <c:showBubbleSize val="0"/>
        </c:dLbls>
        <c:marker val="1"/>
        <c:smooth val="0"/>
        <c:axId val="258342080"/>
        <c:axId val="258342640"/>
      </c:lineChart>
      <c:catAx>
        <c:axId val="25834208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8342640"/>
        <c:crossesAt val="0"/>
        <c:auto val="1"/>
        <c:lblAlgn val="ctr"/>
        <c:lblOffset val="0"/>
        <c:tickLblSkip val="1"/>
        <c:tickMarkSkip val="1"/>
        <c:noMultiLvlLbl val="0"/>
      </c:catAx>
      <c:valAx>
        <c:axId val="258342640"/>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8342080"/>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907138944080587E-2"/>
                  <c:y val="-5.01747416708046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8.9788085171025725E-2"/>
                  <c:y val="-4.936165998118159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9.1638352279919996E-2"/>
                  <c:y val="-3.798197395136928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162999721578E-2"/>
                  <c:y val="5.500470460060417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pt idx="5">
                  <c:v>72.5</c:v>
                </c:pt>
              </c:numCache>
            </c:numRef>
          </c:val>
          <c:smooth val="0"/>
        </c:ser>
        <c:dLbls>
          <c:showLegendKey val="0"/>
          <c:showVal val="0"/>
          <c:showCatName val="0"/>
          <c:showSerName val="0"/>
          <c:showPercent val="0"/>
          <c:showBubbleSize val="0"/>
        </c:dLbls>
        <c:marker val="1"/>
        <c:smooth val="0"/>
        <c:axId val="258345440"/>
        <c:axId val="258346000"/>
      </c:lineChart>
      <c:catAx>
        <c:axId val="258345440"/>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8346000"/>
        <c:crosses val="autoZero"/>
        <c:auto val="1"/>
        <c:lblAlgn val="ctr"/>
        <c:lblOffset val="0"/>
        <c:tickLblSkip val="1"/>
        <c:tickMarkSkip val="1"/>
        <c:noMultiLvlLbl val="0"/>
      </c:catAx>
      <c:valAx>
        <c:axId val="258346000"/>
        <c:scaling>
          <c:orientation val="minMax"/>
          <c:max val="160"/>
          <c:min val="6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8345440"/>
        <c:crosses val="autoZero"/>
        <c:crossBetween val="midCat"/>
        <c:majorUnit val="2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586A3-F433-4496-8AB3-F6027B22A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4</Pages>
  <Words>4181</Words>
  <Characters>2384</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6552</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18</cp:revision>
  <cp:lastPrinted>2022-01-06T08:57:00Z</cp:lastPrinted>
  <dcterms:created xsi:type="dcterms:W3CDTF">2022-05-17T05:50:00Z</dcterms:created>
  <dcterms:modified xsi:type="dcterms:W3CDTF">2022-08-08T08:51:00Z</dcterms:modified>
</cp:coreProperties>
</file>